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536"/>
        <w:gridCol w:w="4253"/>
      </w:tblGrid>
      <w:tr w:rsidR="00C420A0" w:rsidRPr="002F36CB">
        <w:tc>
          <w:tcPr>
            <w:tcW w:w="5665" w:type="dxa"/>
          </w:tcPr>
          <w:p w:rsidR="00C420A0" w:rsidRPr="00D06363" w:rsidRDefault="00C420A0" w:rsidP="00F4093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A096"/>
                <w:sz w:val="22"/>
                <w:szCs w:val="22"/>
              </w:rPr>
              <w:t>L’intérêt de poursuivre l’ETP au-delà du programme</w:t>
            </w:r>
          </w:p>
        </w:tc>
        <w:tc>
          <w:tcPr>
            <w:tcW w:w="4536" w:type="dxa"/>
          </w:tcPr>
          <w:p w:rsidR="00C420A0" w:rsidRPr="00D06363" w:rsidRDefault="00C420A0" w:rsidP="00F40934">
            <w:pPr>
              <w:jc w:val="center"/>
              <w:rPr>
                <w:rFonts w:ascii="Calibri" w:hAnsi="Calibri" w:cs="Calibri"/>
                <w:b/>
                <w:bCs/>
                <w:color w:val="1A328C"/>
              </w:rPr>
            </w:pPr>
            <w:r>
              <w:rPr>
                <w:rFonts w:ascii="Calibri" w:hAnsi="Calibri" w:cs="Calibri"/>
                <w:b/>
                <w:bCs/>
                <w:color w:val="1A328C"/>
                <w:sz w:val="22"/>
                <w:szCs w:val="22"/>
              </w:rPr>
              <w:t>Difficultés rencontrée</w:t>
            </w:r>
            <w:r w:rsidRPr="00D06363">
              <w:rPr>
                <w:rFonts w:ascii="Calibri" w:hAnsi="Calibri" w:cs="Calibri"/>
                <w:b/>
                <w:bCs/>
                <w:color w:val="1A328C"/>
                <w:sz w:val="22"/>
                <w:szCs w:val="22"/>
              </w:rPr>
              <w:t>s</w:t>
            </w:r>
          </w:p>
        </w:tc>
        <w:tc>
          <w:tcPr>
            <w:tcW w:w="4253" w:type="dxa"/>
          </w:tcPr>
          <w:p w:rsidR="00C420A0" w:rsidRPr="00D06363" w:rsidRDefault="00C420A0" w:rsidP="00F40934">
            <w:pPr>
              <w:jc w:val="center"/>
              <w:rPr>
                <w:rFonts w:ascii="Calibri" w:hAnsi="Calibri" w:cs="Calibri"/>
                <w:b/>
                <w:bCs/>
                <w:color w:val="94599B"/>
              </w:rPr>
            </w:pPr>
            <w:r>
              <w:rPr>
                <w:rFonts w:ascii="Calibri" w:hAnsi="Calibri" w:cs="Calibri"/>
                <w:b/>
                <w:bCs/>
                <w:color w:val="94599B"/>
                <w:sz w:val="22"/>
                <w:szCs w:val="22"/>
              </w:rPr>
              <w:t>Conditions</w:t>
            </w:r>
            <w:r w:rsidRPr="00D06363">
              <w:rPr>
                <w:rFonts w:ascii="Calibri" w:hAnsi="Calibri" w:cs="Calibri"/>
                <w:b/>
                <w:bCs/>
                <w:color w:val="94599B"/>
                <w:sz w:val="22"/>
                <w:szCs w:val="22"/>
              </w:rPr>
              <w:t xml:space="preserve"> de la réussite</w:t>
            </w:r>
          </w:p>
        </w:tc>
      </w:tr>
      <w:tr w:rsidR="00C420A0" w:rsidRPr="002F36CB" w:rsidTr="005D7E21">
        <w:trPr>
          <w:trHeight w:val="2805"/>
        </w:trPr>
        <w:tc>
          <w:tcPr>
            <w:tcW w:w="5665" w:type="dxa"/>
          </w:tcPr>
          <w:p w:rsidR="00C420A0" w:rsidRPr="002F36CB" w:rsidRDefault="00C420A0" w:rsidP="00F40934">
            <w:pPr>
              <w:rPr>
                <w:rFonts w:ascii="Calibri" w:hAnsi="Calibri" w:cs="Calibri"/>
                <w:u w:val="single"/>
              </w:rPr>
            </w:pPr>
          </w:p>
          <w:p w:rsidR="00C420A0" w:rsidRPr="00D06363" w:rsidRDefault="00C420A0" w:rsidP="00D06363">
            <w:pPr>
              <w:rPr>
                <w:rFonts w:ascii="Calibri" w:hAnsi="Calibri" w:cs="Calibri"/>
                <w:b/>
                <w:bCs/>
                <w:color w:val="00A096"/>
              </w:rPr>
            </w:pPr>
            <w:r w:rsidRPr="00D06363">
              <w:rPr>
                <w:rFonts w:ascii="Calibri" w:hAnsi="Calibri" w:cs="Calibri"/>
                <w:b/>
                <w:bCs/>
                <w:color w:val="00A096"/>
                <w:sz w:val="22"/>
                <w:szCs w:val="22"/>
              </w:rPr>
              <w:t>Pour le « patient » bénéficiaire du programme</w:t>
            </w:r>
          </w:p>
          <w:p w:rsidR="00C420A0" w:rsidRPr="00D06363" w:rsidRDefault="00C420A0" w:rsidP="009A7DB9">
            <w:pPr>
              <w:pStyle w:val="ccc"/>
              <w:rPr>
                <w:rFonts w:cs="Times New Roman"/>
              </w:rPr>
            </w:pPr>
            <w:r>
              <w:t>Pér</w:t>
            </w:r>
            <w:r w:rsidRPr="009A7DB9">
              <w:t>e</w:t>
            </w:r>
            <w:r>
              <w:t>nnisation</w:t>
            </w:r>
            <w:r w:rsidRPr="00D06363">
              <w:t xml:space="preserve"> des compétences</w:t>
            </w:r>
            <w:r>
              <w:t xml:space="preserve"> (dont les compétences de sécurité)</w:t>
            </w:r>
          </w:p>
          <w:p w:rsidR="00C420A0" w:rsidRDefault="00C420A0" w:rsidP="009A7DB9">
            <w:pPr>
              <w:pStyle w:val="ccc"/>
              <w:rPr>
                <w:rFonts w:cs="Times New Roman"/>
              </w:rPr>
            </w:pPr>
            <w:r>
              <w:t xml:space="preserve">Prise en compte de l’évolution du patient  (de </w:t>
            </w:r>
            <w:r w:rsidRPr="00D06363">
              <w:t>ses besoins</w:t>
            </w:r>
            <w:r w:rsidR="00A13343">
              <w:t>,</w:t>
            </w:r>
            <w:r w:rsidRPr="00D06363">
              <w:t xml:space="preserve"> </w:t>
            </w:r>
            <w:r>
              <w:t>de</w:t>
            </w:r>
            <w:r w:rsidRPr="00D06363">
              <w:t xml:space="preserve"> son « </w:t>
            </w:r>
            <w:r>
              <w:t>environnement</w:t>
            </w:r>
            <w:r w:rsidR="00A13343">
              <w:t> », de son contexte de prise en charge</w:t>
            </w:r>
            <w:r>
              <w:t>)</w:t>
            </w:r>
            <w:r w:rsidRPr="00D06363">
              <w:t xml:space="preserve"> - milieu écologique</w:t>
            </w:r>
          </w:p>
          <w:p w:rsidR="00C420A0" w:rsidRPr="00855B12" w:rsidRDefault="00C420A0" w:rsidP="004E4DDD">
            <w:pPr>
              <w:pStyle w:val="ccc"/>
              <w:ind w:left="738" w:hanging="425"/>
              <w:rPr>
                <w:rFonts w:cs="Times New Roman"/>
              </w:rPr>
            </w:pPr>
            <w:r>
              <w:rPr>
                <w:noProof/>
              </w:rPr>
              <w:t>Implication du patient</w:t>
            </w:r>
            <w:r>
              <w:t xml:space="preserve"> (p</w:t>
            </w:r>
            <w:r w:rsidRPr="00D06363">
              <w:t>atient acteur</w:t>
            </w:r>
            <w:r>
              <w:t>)</w:t>
            </w:r>
          </w:p>
          <w:p w:rsidR="005D7E21" w:rsidRDefault="005D7E21" w:rsidP="00A13343">
            <w:pPr>
              <w:rPr>
                <w:rFonts w:ascii="Calibri" w:hAnsi="Calibri" w:cs="Calibri"/>
                <w:b/>
                <w:bCs/>
                <w:color w:val="00A096"/>
                <w:sz w:val="22"/>
                <w:szCs w:val="22"/>
              </w:rPr>
            </w:pPr>
          </w:p>
          <w:p w:rsidR="005D7E21" w:rsidRDefault="005D7E21" w:rsidP="00A13343">
            <w:pPr>
              <w:rPr>
                <w:rFonts w:ascii="Calibri" w:hAnsi="Calibri" w:cs="Calibri"/>
                <w:b/>
                <w:bCs/>
                <w:color w:val="00A096"/>
                <w:sz w:val="22"/>
                <w:szCs w:val="22"/>
              </w:rPr>
            </w:pPr>
          </w:p>
          <w:p w:rsidR="00C420A0" w:rsidRPr="00CC52AA" w:rsidRDefault="00C420A0" w:rsidP="00624A75">
            <w:pPr>
              <w:pStyle w:val="Paragraphedeliste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C420A0" w:rsidRPr="00855B12" w:rsidRDefault="00C420A0" w:rsidP="00F40934">
            <w:pPr>
              <w:ind w:left="360"/>
              <w:rPr>
                <w:rFonts w:ascii="Calibri" w:hAnsi="Calibri" w:cs="Calibri"/>
                <w:color w:val="1A328C"/>
                <w:sz w:val="22"/>
                <w:szCs w:val="22"/>
              </w:rPr>
            </w:pPr>
          </w:p>
          <w:p w:rsidR="00C420A0" w:rsidRPr="00855B12" w:rsidRDefault="00C420A0" w:rsidP="00624A75">
            <w:pPr>
              <w:ind w:left="720"/>
              <w:rPr>
                <w:rFonts w:ascii="Calibri" w:hAnsi="Calibri" w:cs="Calibri"/>
                <w:color w:val="1A328C"/>
                <w:sz w:val="22"/>
                <w:szCs w:val="22"/>
              </w:rPr>
            </w:pPr>
          </w:p>
          <w:p w:rsidR="00855B12" w:rsidRPr="004E4DDD" w:rsidRDefault="00855B12" w:rsidP="004E4DDD">
            <w:pPr>
              <w:pStyle w:val="ccc"/>
              <w:rPr>
                <w:color w:val="1A328C"/>
              </w:rPr>
            </w:pPr>
            <w:r w:rsidRPr="004E4DDD">
              <w:rPr>
                <w:color w:val="1A328C"/>
              </w:rPr>
              <w:t xml:space="preserve">Transfert des résultats du </w:t>
            </w:r>
          </w:p>
          <w:p w:rsidR="00855B12" w:rsidRPr="004E4DDD" w:rsidRDefault="00855B12" w:rsidP="004E4DDD">
            <w:pPr>
              <w:pStyle w:val="ccc"/>
              <w:rPr>
                <w:color w:val="1A328C"/>
              </w:rPr>
            </w:pPr>
            <w:r w:rsidRPr="004E4DDD">
              <w:rPr>
                <w:color w:val="1A328C"/>
              </w:rPr>
              <w:t>programme dans son environnement</w:t>
            </w:r>
          </w:p>
          <w:p w:rsidR="00C420A0" w:rsidRPr="004E4DDD" w:rsidRDefault="00C420A0" w:rsidP="004E4DDD">
            <w:pPr>
              <w:pStyle w:val="ccc"/>
              <w:rPr>
                <w:color w:val="1A328C"/>
              </w:rPr>
            </w:pPr>
            <w:r w:rsidRPr="004E4DDD">
              <w:rPr>
                <w:color w:val="1A328C"/>
              </w:rPr>
              <w:t>Suivi /</w:t>
            </w:r>
            <w:r w:rsidR="00855B12" w:rsidRPr="004E4DDD">
              <w:rPr>
                <w:color w:val="1A328C"/>
              </w:rPr>
              <w:t>actualisation</w:t>
            </w:r>
          </w:p>
          <w:p w:rsidR="00C420A0" w:rsidRPr="004E4DDD" w:rsidRDefault="00C420A0" w:rsidP="004E4DDD">
            <w:pPr>
              <w:pStyle w:val="ccc"/>
              <w:rPr>
                <w:color w:val="1A328C"/>
              </w:rPr>
            </w:pPr>
            <w:r w:rsidRPr="004E4DDD">
              <w:rPr>
                <w:color w:val="1A328C"/>
              </w:rPr>
              <w:t>Manque de connaissances</w:t>
            </w:r>
            <w:r w:rsidR="00855B12" w:rsidRPr="004E4DDD">
              <w:rPr>
                <w:color w:val="1A328C"/>
              </w:rPr>
              <w:t xml:space="preserve">/ </w:t>
            </w:r>
            <w:r w:rsidR="00855B12" w:rsidRPr="004E4DDD">
              <w:rPr>
                <w:color w:val="1A328C"/>
              </w:rPr>
              <w:t>de méthodes</w:t>
            </w:r>
            <w:r w:rsidR="00855B12" w:rsidRPr="004E4DDD">
              <w:rPr>
                <w:color w:val="1A328C"/>
              </w:rPr>
              <w:t xml:space="preserve"> des professionnels</w:t>
            </w:r>
            <w:r w:rsidRPr="004E4DDD">
              <w:rPr>
                <w:color w:val="1A328C"/>
              </w:rPr>
              <w:t xml:space="preserve"> pour développer l’</w:t>
            </w:r>
            <w:proofErr w:type="spellStart"/>
            <w:r w:rsidRPr="004E4DDD">
              <w:rPr>
                <w:color w:val="1A328C"/>
              </w:rPr>
              <w:t>empowerment</w:t>
            </w:r>
            <w:proofErr w:type="spellEnd"/>
          </w:p>
          <w:p w:rsidR="00C420A0" w:rsidRPr="004E4DDD" w:rsidRDefault="00855B12" w:rsidP="004E4DDD">
            <w:pPr>
              <w:pStyle w:val="ccc"/>
              <w:rPr>
                <w:color w:val="1A328C"/>
              </w:rPr>
            </w:pPr>
            <w:r w:rsidRPr="004E4DDD">
              <w:rPr>
                <w:color w:val="1A328C"/>
              </w:rPr>
              <w:t xml:space="preserve">Tous les services ne proposent pas d’ETP </w:t>
            </w:r>
          </w:p>
          <w:p w:rsidR="005C33F1" w:rsidRPr="004E4DDD" w:rsidRDefault="005C33F1" w:rsidP="004E4DDD">
            <w:pPr>
              <w:pStyle w:val="ccc"/>
              <w:rPr>
                <w:color w:val="1A328C"/>
              </w:rPr>
            </w:pPr>
            <w:r w:rsidRPr="004E4DDD">
              <w:rPr>
                <w:color w:val="1A328C"/>
              </w:rPr>
              <w:t>Manque d’information et communication</w:t>
            </w:r>
          </w:p>
          <w:p w:rsidR="005C33F1" w:rsidRPr="00855B12" w:rsidRDefault="005C33F1" w:rsidP="00624A75">
            <w:pPr>
              <w:ind w:left="720"/>
              <w:rPr>
                <w:rFonts w:ascii="Calibri" w:hAnsi="Calibri" w:cs="Calibri"/>
                <w:color w:val="1A328C"/>
                <w:sz w:val="22"/>
                <w:szCs w:val="22"/>
              </w:rPr>
            </w:pPr>
          </w:p>
        </w:tc>
        <w:tc>
          <w:tcPr>
            <w:tcW w:w="4253" w:type="dxa"/>
          </w:tcPr>
          <w:p w:rsidR="00C420A0" w:rsidRPr="00D06363" w:rsidRDefault="00C420A0" w:rsidP="00F40934">
            <w:pPr>
              <w:ind w:left="360"/>
              <w:rPr>
                <w:rFonts w:ascii="Calibri" w:hAnsi="Calibri" w:cs="Calibri"/>
                <w:color w:val="94599B"/>
              </w:rPr>
            </w:pPr>
          </w:p>
          <w:p w:rsidR="00C420A0" w:rsidRPr="00D06363" w:rsidRDefault="00C420A0" w:rsidP="0078436D">
            <w:pPr>
              <w:rPr>
                <w:rFonts w:ascii="Calibri" w:hAnsi="Calibri" w:cs="Calibri"/>
                <w:color w:val="94599B"/>
              </w:rPr>
            </w:pPr>
          </w:p>
          <w:p w:rsidR="00C420A0" w:rsidRPr="004E4DDD" w:rsidRDefault="00A13343" w:rsidP="004E4DDD">
            <w:pPr>
              <w:pStyle w:val="ccc"/>
              <w:rPr>
                <w:color w:val="94599B"/>
              </w:rPr>
            </w:pPr>
            <w:r w:rsidRPr="004E4DDD">
              <w:rPr>
                <w:color w:val="94599B"/>
              </w:rPr>
              <w:t>Réalisation d’</w:t>
            </w:r>
            <w:r w:rsidR="00C420A0" w:rsidRPr="004E4DDD">
              <w:rPr>
                <w:color w:val="94599B"/>
              </w:rPr>
              <w:t>un bilan éducatif</w:t>
            </w:r>
            <w:r w:rsidRPr="004E4DDD">
              <w:rPr>
                <w:color w:val="94599B"/>
              </w:rPr>
              <w:t xml:space="preserve"> partagé</w:t>
            </w:r>
            <w:r w:rsidR="00C420A0" w:rsidRPr="004E4DDD">
              <w:rPr>
                <w:color w:val="94599B"/>
              </w:rPr>
              <w:t xml:space="preserve"> à distance</w:t>
            </w:r>
          </w:p>
          <w:p w:rsidR="00C420A0" w:rsidRPr="004E4DDD" w:rsidRDefault="00C420A0" w:rsidP="004E4DDD">
            <w:pPr>
              <w:pStyle w:val="ccc"/>
              <w:rPr>
                <w:color w:val="94599B"/>
              </w:rPr>
            </w:pPr>
            <w:r w:rsidRPr="004E4DDD">
              <w:rPr>
                <w:color w:val="94599B"/>
              </w:rPr>
              <w:t>Lien avec les professionnels et aidants du quotidien, de proximité</w:t>
            </w:r>
          </w:p>
          <w:p w:rsidR="00C420A0" w:rsidRPr="004E4DDD" w:rsidRDefault="00C420A0" w:rsidP="004E4DDD">
            <w:pPr>
              <w:pStyle w:val="ccc"/>
              <w:rPr>
                <w:color w:val="94599B"/>
              </w:rPr>
            </w:pPr>
            <w:r w:rsidRPr="004E4DDD">
              <w:rPr>
                <w:color w:val="94599B"/>
              </w:rPr>
              <w:t>(rôle pivot du secteur et CMP)</w:t>
            </w:r>
            <w:r w:rsidR="00A13343" w:rsidRPr="004E4DDD">
              <w:rPr>
                <w:color w:val="94599B"/>
              </w:rPr>
              <w:t xml:space="preserve">  </w:t>
            </w:r>
          </w:p>
          <w:p w:rsidR="00C420A0" w:rsidRPr="00D06363" w:rsidRDefault="00C420A0" w:rsidP="0078436D">
            <w:pPr>
              <w:ind w:left="459"/>
              <w:rPr>
                <w:rFonts w:ascii="Calibri" w:hAnsi="Calibri" w:cs="Calibri"/>
                <w:color w:val="94599B"/>
              </w:rPr>
            </w:pPr>
          </w:p>
          <w:p w:rsidR="00C420A0" w:rsidRPr="00D06363" w:rsidRDefault="00C420A0" w:rsidP="00A13343">
            <w:pPr>
              <w:rPr>
                <w:rFonts w:ascii="Calibri" w:hAnsi="Calibri" w:cs="Calibri"/>
                <w:color w:val="94599B"/>
              </w:rPr>
            </w:pPr>
          </w:p>
          <w:p w:rsidR="005D7E21" w:rsidRDefault="005D7E21" w:rsidP="0078436D">
            <w:pPr>
              <w:ind w:left="459"/>
              <w:rPr>
                <w:rFonts w:ascii="Calibri" w:hAnsi="Calibri" w:cs="Calibri"/>
                <w:color w:val="94599B"/>
                <w:sz w:val="22"/>
                <w:szCs w:val="22"/>
              </w:rPr>
            </w:pPr>
          </w:p>
          <w:p w:rsidR="00C420A0" w:rsidRPr="00D06363" w:rsidRDefault="00C420A0" w:rsidP="0078436D">
            <w:pPr>
              <w:ind w:left="459"/>
              <w:rPr>
                <w:rFonts w:ascii="Calibri" w:hAnsi="Calibri" w:cs="Calibri"/>
                <w:color w:val="94599B"/>
              </w:rPr>
            </w:pPr>
          </w:p>
        </w:tc>
      </w:tr>
      <w:tr w:rsidR="005D7E21" w:rsidRPr="002F36CB" w:rsidTr="005C33F1">
        <w:trPr>
          <w:trHeight w:val="1995"/>
        </w:trPr>
        <w:tc>
          <w:tcPr>
            <w:tcW w:w="5665" w:type="dxa"/>
          </w:tcPr>
          <w:p w:rsidR="005D7E21" w:rsidRPr="00A13343" w:rsidRDefault="005D7E21" w:rsidP="00A13343">
            <w:pPr>
              <w:rPr>
                <w:rFonts w:ascii="Calibri" w:hAnsi="Calibri" w:cs="Calibri"/>
                <w:b/>
                <w:bCs/>
                <w:color w:val="00A096"/>
              </w:rPr>
            </w:pPr>
            <w:r w:rsidRPr="00D06363">
              <w:rPr>
                <w:rFonts w:ascii="Calibri" w:hAnsi="Calibri" w:cs="Calibri"/>
                <w:b/>
                <w:bCs/>
                <w:color w:val="00A096"/>
                <w:sz w:val="22"/>
                <w:szCs w:val="22"/>
              </w:rPr>
              <w:t>Pour le soignant / animateur</w:t>
            </w:r>
          </w:p>
          <w:p w:rsidR="005D7E21" w:rsidRPr="00D06363" w:rsidRDefault="005D7E21" w:rsidP="009A7DB9">
            <w:pPr>
              <w:pStyle w:val="ccc"/>
            </w:pPr>
            <w:r w:rsidRPr="00D06363">
              <w:t>ouverture professionnelle et évolution de posture</w:t>
            </w:r>
            <w:r>
              <w:t xml:space="preserve"> générée par la formation ETP</w:t>
            </w:r>
          </w:p>
          <w:p w:rsidR="005D7E21" w:rsidRPr="00D06363" w:rsidRDefault="005D7E21" w:rsidP="009A7DB9">
            <w:pPr>
              <w:pStyle w:val="ccc"/>
            </w:pPr>
            <w:r>
              <w:t>Capacité à p</w:t>
            </w:r>
            <w:r w:rsidRPr="00D06363">
              <w:t>artir des besoins du patient</w:t>
            </w:r>
          </w:p>
          <w:p w:rsidR="005D7E21" w:rsidRDefault="005D7E21" w:rsidP="009A7DB9">
            <w:pPr>
              <w:pStyle w:val="ccc"/>
            </w:pPr>
            <w:r w:rsidRPr="00D06363">
              <w:t>Définition d’indicateur</w:t>
            </w:r>
            <w:r>
              <w:t>s</w:t>
            </w:r>
            <w:r w:rsidRPr="00D06363">
              <w:t xml:space="preserve"> de « bonne santé » en santé mentale</w:t>
            </w:r>
          </w:p>
          <w:p w:rsidR="005D7E21" w:rsidRPr="00D06363" w:rsidRDefault="005D7E21" w:rsidP="009A7DB9">
            <w:pPr>
              <w:pStyle w:val="ccc"/>
            </w:pPr>
            <w:r>
              <w:t xml:space="preserve">Adaptation/évolution </w:t>
            </w:r>
            <w:r w:rsidRPr="00D06363">
              <w:t>du programme</w:t>
            </w:r>
          </w:p>
          <w:p w:rsidR="005D7E21" w:rsidRPr="002F36CB" w:rsidRDefault="005D7E21" w:rsidP="00624A75">
            <w:pPr>
              <w:pStyle w:val="Paragraphedeliste"/>
              <w:rPr>
                <w:rFonts w:ascii="Calibri" w:hAnsi="Calibri" w:cs="Calibri"/>
                <w:u w:val="single"/>
              </w:rPr>
            </w:pPr>
          </w:p>
        </w:tc>
        <w:tc>
          <w:tcPr>
            <w:tcW w:w="4536" w:type="dxa"/>
          </w:tcPr>
          <w:p w:rsidR="005D7E21" w:rsidRPr="00855B12" w:rsidRDefault="005D7E21" w:rsidP="005C33F1">
            <w:pPr>
              <w:rPr>
                <w:rFonts w:ascii="Calibri" w:hAnsi="Calibri" w:cs="Calibri"/>
                <w:color w:val="1A328C"/>
                <w:sz w:val="22"/>
                <w:szCs w:val="22"/>
              </w:rPr>
            </w:pPr>
          </w:p>
          <w:p w:rsidR="005D7E21" w:rsidRPr="004E4DDD" w:rsidRDefault="005D7E21" w:rsidP="004E4DDD">
            <w:pPr>
              <w:pStyle w:val="ccc"/>
              <w:ind w:left="440"/>
              <w:rPr>
                <w:color w:val="1A328C"/>
              </w:rPr>
            </w:pPr>
            <w:r w:rsidRPr="004E4DDD">
              <w:rPr>
                <w:color w:val="1A328C"/>
              </w:rPr>
              <w:t>Absence de formation ETP dès la formation initiale</w:t>
            </w:r>
          </w:p>
          <w:p w:rsidR="005D7E21" w:rsidRPr="00855B12" w:rsidRDefault="005D7E21" w:rsidP="00624A75">
            <w:pPr>
              <w:ind w:left="720"/>
              <w:rPr>
                <w:rFonts w:ascii="Calibri" w:hAnsi="Calibri" w:cs="Calibri"/>
                <w:color w:val="1A328C"/>
                <w:sz w:val="22"/>
                <w:szCs w:val="22"/>
              </w:rPr>
            </w:pPr>
          </w:p>
          <w:p w:rsidR="005D7E21" w:rsidRPr="00855B12" w:rsidRDefault="005D7E21" w:rsidP="00624A75">
            <w:pPr>
              <w:ind w:left="720"/>
              <w:rPr>
                <w:rFonts w:ascii="Calibri" w:hAnsi="Calibri" w:cs="Calibri"/>
                <w:color w:val="1A328C"/>
                <w:sz w:val="22"/>
                <w:szCs w:val="22"/>
              </w:rPr>
            </w:pPr>
          </w:p>
          <w:p w:rsidR="005C33F1" w:rsidRDefault="005C33F1" w:rsidP="00624A75">
            <w:pPr>
              <w:ind w:left="720"/>
              <w:rPr>
                <w:rFonts w:ascii="Calibri" w:hAnsi="Calibri" w:cs="Calibri"/>
                <w:color w:val="1A328C"/>
                <w:sz w:val="22"/>
                <w:szCs w:val="22"/>
              </w:rPr>
            </w:pPr>
          </w:p>
          <w:p w:rsidR="005C33F1" w:rsidRDefault="005C33F1" w:rsidP="00624A75">
            <w:pPr>
              <w:ind w:left="720"/>
              <w:rPr>
                <w:rFonts w:ascii="Calibri" w:hAnsi="Calibri" w:cs="Calibri"/>
                <w:color w:val="1A328C"/>
                <w:sz w:val="22"/>
                <w:szCs w:val="22"/>
              </w:rPr>
            </w:pPr>
          </w:p>
          <w:p w:rsidR="005D7E21" w:rsidRPr="00855B12" w:rsidRDefault="005D7E21" w:rsidP="005C33F1">
            <w:pPr>
              <w:rPr>
                <w:rFonts w:ascii="Calibri" w:hAnsi="Calibri" w:cs="Calibri"/>
                <w:color w:val="1A328C"/>
                <w:sz w:val="22"/>
                <w:szCs w:val="22"/>
              </w:rPr>
            </w:pPr>
          </w:p>
        </w:tc>
        <w:tc>
          <w:tcPr>
            <w:tcW w:w="4253" w:type="dxa"/>
          </w:tcPr>
          <w:p w:rsidR="005C33F1" w:rsidRDefault="005C33F1" w:rsidP="0078436D">
            <w:pPr>
              <w:ind w:left="459"/>
              <w:rPr>
                <w:rFonts w:ascii="Calibri" w:hAnsi="Calibri" w:cs="Calibri"/>
                <w:color w:val="94599B"/>
                <w:sz w:val="22"/>
                <w:szCs w:val="22"/>
              </w:rPr>
            </w:pPr>
          </w:p>
          <w:p w:rsidR="005D7E21" w:rsidRPr="00D06363" w:rsidRDefault="005D7E21" w:rsidP="004E4DDD">
            <w:pPr>
              <w:pStyle w:val="ccc"/>
              <w:rPr>
                <w:color w:val="94599B"/>
              </w:rPr>
            </w:pPr>
            <w:r w:rsidRPr="00D06363">
              <w:rPr>
                <w:color w:val="94599B"/>
              </w:rPr>
              <w:t xml:space="preserve">Mobilisation des compétences de l’ETP en dehors </w:t>
            </w:r>
            <w:r w:rsidR="005C33F1">
              <w:rPr>
                <w:color w:val="94599B"/>
              </w:rPr>
              <w:t>des programmes</w:t>
            </w:r>
          </w:p>
          <w:p w:rsidR="005D7E21" w:rsidRPr="004E4DDD" w:rsidRDefault="005D7E21" w:rsidP="004E4DDD">
            <w:pPr>
              <w:pStyle w:val="ccc"/>
              <w:numPr>
                <w:ilvl w:val="0"/>
                <w:numId w:val="0"/>
              </w:numPr>
              <w:ind w:left="360"/>
              <w:rPr>
                <w:color w:val="94599B"/>
              </w:rPr>
            </w:pPr>
          </w:p>
          <w:p w:rsidR="005C33F1" w:rsidRDefault="005C33F1" w:rsidP="0078436D">
            <w:pPr>
              <w:ind w:left="459"/>
              <w:rPr>
                <w:rFonts w:ascii="Calibri" w:hAnsi="Calibri" w:cs="Calibri"/>
                <w:color w:val="94599B"/>
                <w:sz w:val="22"/>
                <w:szCs w:val="22"/>
              </w:rPr>
            </w:pPr>
          </w:p>
          <w:p w:rsidR="005C33F1" w:rsidRDefault="005C33F1" w:rsidP="0078436D">
            <w:pPr>
              <w:ind w:left="459"/>
              <w:rPr>
                <w:rFonts w:ascii="Calibri" w:hAnsi="Calibri" w:cs="Calibri"/>
                <w:color w:val="94599B"/>
                <w:sz w:val="22"/>
                <w:szCs w:val="22"/>
              </w:rPr>
            </w:pPr>
          </w:p>
          <w:p w:rsidR="005D7E21" w:rsidRPr="00D06363" w:rsidRDefault="005D7E21" w:rsidP="005C33F1">
            <w:pPr>
              <w:rPr>
                <w:rFonts w:ascii="Calibri" w:hAnsi="Calibri" w:cs="Calibri"/>
                <w:color w:val="94599B"/>
              </w:rPr>
            </w:pPr>
          </w:p>
        </w:tc>
      </w:tr>
      <w:tr w:rsidR="005C33F1" w:rsidRPr="002F36CB">
        <w:trPr>
          <w:trHeight w:val="2145"/>
        </w:trPr>
        <w:tc>
          <w:tcPr>
            <w:tcW w:w="5665" w:type="dxa"/>
          </w:tcPr>
          <w:p w:rsidR="005C33F1" w:rsidRPr="00D06363" w:rsidRDefault="005C33F1" w:rsidP="00D06363">
            <w:pPr>
              <w:rPr>
                <w:rFonts w:ascii="Calibri" w:hAnsi="Calibri" w:cs="Calibri"/>
                <w:b/>
                <w:bCs/>
                <w:color w:val="00A096"/>
              </w:rPr>
            </w:pPr>
            <w:r w:rsidRPr="00D06363">
              <w:rPr>
                <w:rFonts w:ascii="Calibri" w:hAnsi="Calibri" w:cs="Calibri"/>
                <w:b/>
                <w:bCs/>
                <w:color w:val="00A096"/>
                <w:sz w:val="22"/>
                <w:szCs w:val="22"/>
              </w:rPr>
              <w:t>Pour les partenaires ambulatoire/tiers aidants</w:t>
            </w:r>
          </w:p>
          <w:p w:rsidR="005C33F1" w:rsidRPr="00D06363" w:rsidRDefault="005C33F1" w:rsidP="00624A75">
            <w:pPr>
              <w:pStyle w:val="Paragraphedeliste"/>
              <w:rPr>
                <w:rFonts w:ascii="Calibri" w:hAnsi="Calibri" w:cs="Calibri"/>
                <w:b/>
                <w:bCs/>
                <w:color w:val="00A096"/>
                <w:sz w:val="22"/>
                <w:szCs w:val="22"/>
              </w:rPr>
            </w:pPr>
          </w:p>
        </w:tc>
        <w:tc>
          <w:tcPr>
            <w:tcW w:w="4536" w:type="dxa"/>
          </w:tcPr>
          <w:p w:rsidR="005C33F1" w:rsidRDefault="005C33F1" w:rsidP="00624A75">
            <w:pPr>
              <w:ind w:left="720"/>
              <w:rPr>
                <w:rFonts w:ascii="Calibri" w:hAnsi="Calibri" w:cs="Calibri"/>
                <w:color w:val="1A328C"/>
                <w:sz w:val="22"/>
                <w:szCs w:val="22"/>
              </w:rPr>
            </w:pPr>
          </w:p>
          <w:p w:rsidR="005C33F1" w:rsidRPr="00855B12" w:rsidRDefault="005C33F1" w:rsidP="004E4DDD">
            <w:pPr>
              <w:pStyle w:val="ccc"/>
              <w:rPr>
                <w:color w:val="1A328C"/>
              </w:rPr>
            </w:pPr>
            <w:r>
              <w:rPr>
                <w:color w:val="1A328C"/>
              </w:rPr>
              <w:t>Manque de t</w:t>
            </w:r>
            <w:r w:rsidRPr="00D06363">
              <w:rPr>
                <w:color w:val="1A328C"/>
              </w:rPr>
              <w:t xml:space="preserve">ransmission et formation des </w:t>
            </w:r>
            <w:r>
              <w:rPr>
                <w:color w:val="1A328C"/>
              </w:rPr>
              <w:t xml:space="preserve">aidants pour repérer </w:t>
            </w:r>
            <w:r w:rsidRPr="00D06363">
              <w:rPr>
                <w:color w:val="1A328C"/>
              </w:rPr>
              <w:t>les troubles</w:t>
            </w:r>
          </w:p>
          <w:p w:rsidR="005C33F1" w:rsidRPr="00855B12" w:rsidRDefault="005C33F1" w:rsidP="004E4DDD">
            <w:pPr>
              <w:pStyle w:val="ccc"/>
              <w:rPr>
                <w:color w:val="1A328C"/>
              </w:rPr>
            </w:pPr>
            <w:r w:rsidRPr="00D06363">
              <w:rPr>
                <w:color w:val="1A328C"/>
              </w:rPr>
              <w:t>Problème de visibilité des structures en psychiatrie</w:t>
            </w:r>
          </w:p>
          <w:p w:rsidR="005C33F1" w:rsidRPr="00855B12" w:rsidRDefault="005C33F1" w:rsidP="004E4DDD">
            <w:pPr>
              <w:pStyle w:val="ccc"/>
              <w:rPr>
                <w:color w:val="1A328C"/>
              </w:rPr>
            </w:pPr>
            <w:r>
              <w:rPr>
                <w:color w:val="1A328C"/>
              </w:rPr>
              <w:t>Méc</w:t>
            </w:r>
            <w:r w:rsidRPr="00D06363">
              <w:rPr>
                <w:color w:val="1A328C"/>
              </w:rPr>
              <w:t>onnaissance dans le médico-social de l’ETP</w:t>
            </w:r>
          </w:p>
        </w:tc>
        <w:tc>
          <w:tcPr>
            <w:tcW w:w="4253" w:type="dxa"/>
          </w:tcPr>
          <w:p w:rsidR="005C33F1" w:rsidRDefault="005C33F1" w:rsidP="0078436D">
            <w:pPr>
              <w:ind w:left="459"/>
              <w:rPr>
                <w:rFonts w:ascii="Calibri" w:hAnsi="Calibri" w:cs="Calibri"/>
                <w:color w:val="94599B"/>
                <w:sz w:val="22"/>
                <w:szCs w:val="22"/>
              </w:rPr>
            </w:pPr>
          </w:p>
          <w:p w:rsidR="005C33F1" w:rsidRPr="00D06363" w:rsidRDefault="005C33F1" w:rsidP="004E4DDD">
            <w:pPr>
              <w:pStyle w:val="ccc"/>
              <w:rPr>
                <w:color w:val="94599B"/>
              </w:rPr>
            </w:pPr>
            <w:r>
              <w:rPr>
                <w:color w:val="94599B"/>
              </w:rPr>
              <w:t>Poursuite de l’ETP en soins primaires ?</w:t>
            </w:r>
          </w:p>
          <w:p w:rsidR="005C33F1" w:rsidRPr="004E4DDD" w:rsidRDefault="005C33F1" w:rsidP="004E4DDD">
            <w:pPr>
              <w:pStyle w:val="ccc"/>
              <w:rPr>
                <w:color w:val="94599B"/>
              </w:rPr>
            </w:pPr>
            <w:r>
              <w:rPr>
                <w:color w:val="94599B"/>
              </w:rPr>
              <w:t>Mise en place d’un m</w:t>
            </w:r>
            <w:r w:rsidRPr="00D06363">
              <w:rPr>
                <w:color w:val="94599B"/>
              </w:rPr>
              <w:t xml:space="preserve">odule ETP à destination de l’entourage </w:t>
            </w:r>
            <w:bookmarkStart w:id="0" w:name="_GoBack"/>
            <w:bookmarkEnd w:id="0"/>
          </w:p>
          <w:p w:rsidR="005C33F1" w:rsidRDefault="005C33F1" w:rsidP="004E4DDD">
            <w:pPr>
              <w:pStyle w:val="ccc"/>
              <w:rPr>
                <w:color w:val="94599B"/>
              </w:rPr>
            </w:pPr>
            <w:r>
              <w:rPr>
                <w:color w:val="94599B"/>
              </w:rPr>
              <w:t xml:space="preserve">Diffusion de supports </w:t>
            </w:r>
            <w:r w:rsidRPr="00D06363">
              <w:rPr>
                <w:color w:val="94599B"/>
              </w:rPr>
              <w:t xml:space="preserve">de communication et </w:t>
            </w:r>
            <w:r>
              <w:rPr>
                <w:color w:val="94599B"/>
              </w:rPr>
              <w:t>d’</w:t>
            </w:r>
            <w:r w:rsidRPr="00D06363">
              <w:rPr>
                <w:color w:val="94599B"/>
              </w:rPr>
              <w:t>outils</w:t>
            </w:r>
          </w:p>
        </w:tc>
      </w:tr>
    </w:tbl>
    <w:p w:rsidR="00C420A0" w:rsidRDefault="00C420A0" w:rsidP="00B142B1"/>
    <w:p w:rsidR="00C420A0" w:rsidRDefault="00C420A0"/>
    <w:sectPr w:rsidR="00C420A0" w:rsidSect="00CD0EAE">
      <w:headerReference w:type="default" r:id="rId7"/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FF" w:rsidRDefault="005055FF" w:rsidP="003D4C53">
      <w:r>
        <w:separator/>
      </w:r>
    </w:p>
  </w:endnote>
  <w:endnote w:type="continuationSeparator" w:id="0">
    <w:p w:rsidR="005055FF" w:rsidRDefault="005055FF" w:rsidP="003D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FF" w:rsidRDefault="005055FF" w:rsidP="003D4C53">
      <w:r>
        <w:separator/>
      </w:r>
    </w:p>
  </w:footnote>
  <w:footnote w:type="continuationSeparator" w:id="0">
    <w:p w:rsidR="005055FF" w:rsidRDefault="005055FF" w:rsidP="003D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A0" w:rsidRDefault="00D42A1B" w:rsidP="004630F3">
    <w:pPr>
      <w:pStyle w:val="En-tte"/>
      <w:jc w:val="center"/>
      <w:rPr>
        <w:rFonts w:ascii="Calibri Light" w:hAnsi="Calibri Light" w:cs="Calibri Light"/>
        <w:b/>
        <w:bCs/>
        <w:color w:val="A6A6A6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-414655</wp:posOffset>
          </wp:positionH>
          <wp:positionV relativeFrom="paragraph">
            <wp:posOffset>-364490</wp:posOffset>
          </wp:positionV>
          <wp:extent cx="1076325" cy="723900"/>
          <wp:effectExtent l="0" t="0" r="9525" b="0"/>
          <wp:wrapSquare wrapText="bothSides"/>
          <wp:docPr id="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0A0" w:rsidRPr="004630F3">
      <w:rPr>
        <w:rFonts w:ascii="Calibri Light" w:hAnsi="Calibri Light" w:cs="Calibri Light"/>
        <w:b/>
        <w:bCs/>
        <w:color w:val="A6A6A6"/>
        <w:sz w:val="28"/>
        <w:szCs w:val="28"/>
      </w:rPr>
      <w:t>L</w:t>
    </w:r>
    <w:r w:rsidR="00C420A0">
      <w:rPr>
        <w:rFonts w:ascii="Calibri Light" w:hAnsi="Calibri Light" w:cs="Calibri Light"/>
        <w:b/>
        <w:bCs/>
        <w:color w:val="A6A6A6"/>
        <w:sz w:val="28"/>
        <w:szCs w:val="28"/>
      </w:rPr>
      <w:t>’ETP au-delà du programme</w:t>
    </w:r>
  </w:p>
  <w:p w:rsidR="00C420A0" w:rsidRPr="004630F3" w:rsidRDefault="00C420A0" w:rsidP="004630F3">
    <w:pPr>
      <w:pStyle w:val="En-tte"/>
      <w:jc w:val="center"/>
      <w:rPr>
        <w:rFonts w:ascii="Calibri Light" w:hAnsi="Calibri Light" w:cs="Calibri Light"/>
        <w:b/>
        <w:bCs/>
        <w:color w:val="A6A6A6"/>
        <w:sz w:val="28"/>
        <w:szCs w:val="28"/>
      </w:rPr>
    </w:pPr>
    <w:r>
      <w:rPr>
        <w:rFonts w:ascii="Calibri Light" w:hAnsi="Calibri Light" w:cs="Calibri Light"/>
        <w:b/>
        <w:bCs/>
        <w:color w:val="A6A6A6"/>
        <w:sz w:val="28"/>
        <w:szCs w:val="28"/>
      </w:rPr>
      <w:t xml:space="preserve">3 points de </w:t>
    </w:r>
    <w:r w:rsidR="00855B12">
      <w:rPr>
        <w:rFonts w:ascii="Calibri Light" w:hAnsi="Calibri Light" w:cs="Calibri Light"/>
        <w:b/>
        <w:bCs/>
        <w:color w:val="A6A6A6"/>
        <w:sz w:val="28"/>
        <w:szCs w:val="28"/>
      </w:rPr>
      <w:t>vue</w:t>
    </w:r>
    <w:r>
      <w:rPr>
        <w:rFonts w:ascii="Calibri Light" w:hAnsi="Calibri Light" w:cs="Calibri Light"/>
        <w:b/>
        <w:bCs/>
        <w:color w:val="A6A6A6"/>
        <w:sz w:val="28"/>
        <w:szCs w:val="28"/>
      </w:rPr>
      <w:t> : patient – soignant – partenaire ambulatoire, tiers aidants, famille</w:t>
    </w:r>
  </w:p>
  <w:p w:rsidR="00C420A0" w:rsidRPr="004630F3" w:rsidRDefault="00C420A0" w:rsidP="004630F3">
    <w:pPr>
      <w:pStyle w:val="En-tte"/>
      <w:jc w:val="center"/>
      <w:rPr>
        <w:rFonts w:ascii="Calibri Light" w:hAnsi="Calibri Light" w:cs="Calibri Light"/>
        <w:b/>
        <w:bCs/>
        <w:color w:val="A6A6A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73E5"/>
    <w:multiLevelType w:val="hybridMultilevel"/>
    <w:tmpl w:val="030C26FC"/>
    <w:lvl w:ilvl="0" w:tplc="199A77B2">
      <w:numFmt w:val="bullet"/>
      <w:pStyle w:val="ccc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917ADC"/>
    <w:multiLevelType w:val="hybridMultilevel"/>
    <w:tmpl w:val="3F4E2708"/>
    <w:lvl w:ilvl="0" w:tplc="B50E73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89525B"/>
    <w:multiLevelType w:val="hybridMultilevel"/>
    <w:tmpl w:val="B8CCF27A"/>
    <w:lvl w:ilvl="0" w:tplc="E32CC33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DF7E21"/>
    <w:multiLevelType w:val="hybridMultilevel"/>
    <w:tmpl w:val="E6B8D55E"/>
    <w:lvl w:ilvl="0" w:tplc="2090BA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A252A4"/>
    <w:multiLevelType w:val="hybridMultilevel"/>
    <w:tmpl w:val="5DCE2BE8"/>
    <w:lvl w:ilvl="0" w:tplc="3140DE1C"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AD1F4A"/>
    <w:multiLevelType w:val="hybridMultilevel"/>
    <w:tmpl w:val="C1989276"/>
    <w:lvl w:ilvl="0" w:tplc="54C20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B1"/>
    <w:rsid w:val="00133308"/>
    <w:rsid w:val="001B583B"/>
    <w:rsid w:val="002F36CB"/>
    <w:rsid w:val="00312737"/>
    <w:rsid w:val="003D4C53"/>
    <w:rsid w:val="004630F3"/>
    <w:rsid w:val="004E4DDD"/>
    <w:rsid w:val="005055FF"/>
    <w:rsid w:val="005417CD"/>
    <w:rsid w:val="005C33F1"/>
    <w:rsid w:val="005D7E21"/>
    <w:rsid w:val="00624A75"/>
    <w:rsid w:val="007633B7"/>
    <w:rsid w:val="0078436D"/>
    <w:rsid w:val="007E3F8E"/>
    <w:rsid w:val="00804969"/>
    <w:rsid w:val="00855B12"/>
    <w:rsid w:val="009068B5"/>
    <w:rsid w:val="009A7DB9"/>
    <w:rsid w:val="009D60B6"/>
    <w:rsid w:val="009F31EA"/>
    <w:rsid w:val="00A13343"/>
    <w:rsid w:val="00B142B1"/>
    <w:rsid w:val="00C013A5"/>
    <w:rsid w:val="00C14D1C"/>
    <w:rsid w:val="00C330A2"/>
    <w:rsid w:val="00C420A0"/>
    <w:rsid w:val="00CC52AA"/>
    <w:rsid w:val="00CD0EAE"/>
    <w:rsid w:val="00D06363"/>
    <w:rsid w:val="00D11143"/>
    <w:rsid w:val="00D42A1B"/>
    <w:rsid w:val="00EB53AB"/>
    <w:rsid w:val="00F02FA4"/>
    <w:rsid w:val="00F40934"/>
    <w:rsid w:val="00F7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C687FD-111D-4FCD-B912-1DDD5063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2B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B142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B142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42B1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D4C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4C53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ccc">
    <w:name w:val="ccc"/>
    <w:basedOn w:val="Paragraphedeliste"/>
    <w:link w:val="cccCar"/>
    <w:uiPriority w:val="99"/>
    <w:rsid w:val="009A7DB9"/>
    <w:pPr>
      <w:numPr>
        <w:numId w:val="6"/>
      </w:numPr>
    </w:pPr>
    <w:rPr>
      <w:rFonts w:ascii="Calibri" w:hAnsi="Calibri" w:cs="Calibri"/>
      <w:color w:val="00A096"/>
      <w:sz w:val="22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9A7DB9"/>
    <w:rPr>
      <w:rFonts w:eastAsia="Times New Roman"/>
      <w:sz w:val="24"/>
      <w:szCs w:val="24"/>
      <w:lang w:val="fr-FR" w:eastAsia="fr-FR"/>
    </w:rPr>
  </w:style>
  <w:style w:type="character" w:customStyle="1" w:styleId="cccCar">
    <w:name w:val="ccc Car"/>
    <w:basedOn w:val="ParagraphedelisteCar"/>
    <w:link w:val="ccc"/>
    <w:uiPriority w:val="99"/>
    <w:rsid w:val="009A7DB9"/>
    <w:rPr>
      <w:rFonts w:ascii="Calibri" w:eastAsia="Times New Roman" w:hAnsi="Calibri" w:cs="Calibri"/>
      <w:color w:val="00A096"/>
      <w:sz w:val="22"/>
      <w:szCs w:val="22"/>
      <w:lang w:val="fr-FR" w:eastAsia="fr-FR"/>
    </w:rPr>
  </w:style>
  <w:style w:type="paragraph" w:customStyle="1" w:styleId="aaa">
    <w:name w:val="aaa"/>
    <w:basedOn w:val="Normal"/>
    <w:uiPriority w:val="99"/>
    <w:rsid w:val="00C14D1C"/>
    <w:pPr>
      <w:ind w:left="720"/>
    </w:pPr>
    <w:rPr>
      <w:rFonts w:ascii="Calibri" w:hAnsi="Calibri" w:cs="Calibri"/>
      <w:color w:val="1A328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Intérêt(s) du thème</vt:lpstr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Intérêt(s) du thème</dc:title>
  <dc:subject/>
  <dc:creator>Anne-Sophie Riou</dc:creator>
  <cp:keywords/>
  <dc:description/>
  <cp:lastModifiedBy>Anne-Sophie Riou</cp:lastModifiedBy>
  <cp:revision>8</cp:revision>
  <dcterms:created xsi:type="dcterms:W3CDTF">2018-05-15T11:36:00Z</dcterms:created>
  <dcterms:modified xsi:type="dcterms:W3CDTF">2018-05-15T12:45:00Z</dcterms:modified>
</cp:coreProperties>
</file>