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  <w:gridCol w:w="5670"/>
      </w:tblGrid>
      <w:tr w:rsidR="00F000B0" w:rsidRPr="002F36CB" w:rsidTr="004313B4">
        <w:tc>
          <w:tcPr>
            <w:tcW w:w="4962" w:type="dxa"/>
          </w:tcPr>
          <w:p w:rsidR="00F000B0" w:rsidRPr="00F000B0" w:rsidRDefault="00F000B0" w:rsidP="00C56B41">
            <w:pPr>
              <w:jc w:val="center"/>
              <w:rPr>
                <w:rFonts w:ascii="Calibri" w:hAnsi="Calibri" w:cs="Calibri"/>
                <w:b/>
                <w:bCs/>
                <w:color w:val="00A096"/>
              </w:rPr>
            </w:pPr>
            <w:r>
              <w:rPr>
                <w:rFonts w:ascii="Calibri" w:hAnsi="Calibri" w:cs="Calibri"/>
                <w:b/>
                <w:bCs/>
                <w:color w:val="00A096"/>
                <w:sz w:val="22"/>
                <w:szCs w:val="22"/>
              </w:rPr>
              <w:t>L’i</w:t>
            </w:r>
            <w:r w:rsidRPr="00665626">
              <w:rPr>
                <w:rFonts w:ascii="Calibri" w:hAnsi="Calibri" w:cs="Calibri"/>
                <w:b/>
                <w:bCs/>
                <w:color w:val="00A096"/>
                <w:sz w:val="22"/>
                <w:szCs w:val="22"/>
              </w:rPr>
              <w:t xml:space="preserve">ntérêt du </w:t>
            </w:r>
            <w:r>
              <w:rPr>
                <w:rFonts w:ascii="Calibri" w:hAnsi="Calibri" w:cs="Calibri"/>
                <w:b/>
                <w:bCs/>
                <w:color w:val="00A096"/>
                <w:sz w:val="22"/>
                <w:szCs w:val="22"/>
              </w:rPr>
              <w:t>binôme patient expert soignant en ETP</w:t>
            </w:r>
          </w:p>
        </w:tc>
        <w:tc>
          <w:tcPr>
            <w:tcW w:w="4819" w:type="dxa"/>
          </w:tcPr>
          <w:p w:rsidR="00F000B0" w:rsidRPr="00665626" w:rsidRDefault="00F000B0" w:rsidP="00F40934">
            <w:pPr>
              <w:jc w:val="center"/>
              <w:rPr>
                <w:rFonts w:ascii="Calibri" w:hAnsi="Calibri" w:cs="Calibri"/>
                <w:b/>
                <w:bCs/>
                <w:color w:val="1A328C"/>
              </w:rPr>
            </w:pPr>
            <w:r w:rsidRPr="00665626">
              <w:rPr>
                <w:rFonts w:ascii="Calibri" w:hAnsi="Calibri" w:cs="Calibri"/>
                <w:b/>
                <w:bCs/>
                <w:color w:val="1A328C"/>
                <w:sz w:val="22"/>
                <w:szCs w:val="22"/>
              </w:rPr>
              <w:t>Difficulté(s) rencontrée(s)</w:t>
            </w:r>
          </w:p>
        </w:tc>
        <w:tc>
          <w:tcPr>
            <w:tcW w:w="5670" w:type="dxa"/>
          </w:tcPr>
          <w:p w:rsidR="00F000B0" w:rsidRPr="00665626" w:rsidRDefault="00F000B0" w:rsidP="00F40934">
            <w:pPr>
              <w:jc w:val="center"/>
              <w:rPr>
                <w:rFonts w:ascii="Calibri" w:hAnsi="Calibri" w:cs="Calibri"/>
                <w:b/>
                <w:bCs/>
                <w:color w:val="94599B"/>
              </w:rPr>
            </w:pPr>
            <w:r w:rsidRPr="00665626">
              <w:rPr>
                <w:rFonts w:ascii="Calibri" w:hAnsi="Calibri" w:cs="Calibri"/>
                <w:b/>
                <w:bCs/>
                <w:color w:val="94599B"/>
                <w:sz w:val="22"/>
                <w:szCs w:val="22"/>
              </w:rPr>
              <w:t>Condition(s) de la réussite</w:t>
            </w:r>
          </w:p>
        </w:tc>
      </w:tr>
      <w:tr w:rsidR="00F000B0" w:rsidRPr="002F36CB" w:rsidTr="004313B4">
        <w:trPr>
          <w:trHeight w:val="8494"/>
        </w:trPr>
        <w:tc>
          <w:tcPr>
            <w:tcW w:w="4962" w:type="dxa"/>
          </w:tcPr>
          <w:p w:rsidR="00E43E20" w:rsidRDefault="00E43E20" w:rsidP="00C56B41">
            <w:pPr>
              <w:rPr>
                <w:rFonts w:ascii="Calibri" w:hAnsi="Calibri" w:cs="Calibri"/>
                <w:b/>
                <w:color w:val="00A096"/>
                <w:sz w:val="22"/>
                <w:szCs w:val="22"/>
                <w:u w:val="single"/>
              </w:rPr>
            </w:pPr>
          </w:p>
          <w:p w:rsidR="00F000B0" w:rsidRPr="00E43E20" w:rsidRDefault="00F000B0" w:rsidP="00C56B41">
            <w:pPr>
              <w:rPr>
                <w:rFonts w:ascii="Calibri" w:hAnsi="Calibri" w:cs="Calibri"/>
                <w:b/>
                <w:color w:val="00A096"/>
                <w:u w:val="single"/>
              </w:rPr>
            </w:pPr>
            <w:r w:rsidRPr="00E43E20">
              <w:rPr>
                <w:rFonts w:ascii="Calibri" w:hAnsi="Calibri" w:cs="Calibri"/>
                <w:b/>
                <w:color w:val="00A096"/>
                <w:sz w:val="22"/>
                <w:szCs w:val="22"/>
                <w:u w:val="single"/>
              </w:rPr>
              <w:t>Les bénéfices du binôme pour les participants</w:t>
            </w:r>
          </w:p>
          <w:p w:rsidR="00F000B0" w:rsidRPr="00665626" w:rsidRDefault="00F000B0" w:rsidP="008359A6">
            <w:pPr>
              <w:pStyle w:val="Paragraphedeliste"/>
              <w:numPr>
                <w:ilvl w:val="0"/>
                <w:numId w:val="1"/>
              </w:numPr>
              <w:tabs>
                <w:tab w:val="clear" w:pos="720"/>
              </w:tabs>
              <w:ind w:left="440" w:hanging="250"/>
              <w:rPr>
                <w:rFonts w:ascii="Calibri" w:hAnsi="Calibri" w:cs="Calibri"/>
                <w:color w:val="00A096"/>
              </w:rPr>
            </w:pPr>
            <w:r>
              <w:rPr>
                <w:rFonts w:ascii="Calibri" w:hAnsi="Calibri" w:cs="Calibri"/>
                <w:color w:val="00A096"/>
                <w:sz w:val="22"/>
                <w:szCs w:val="22"/>
              </w:rPr>
              <w:t>B</w:t>
            </w:r>
            <w:r w:rsidRPr="00665626">
              <w:rPr>
                <w:rFonts w:ascii="Calibri" w:hAnsi="Calibri" w:cs="Calibri"/>
                <w:color w:val="00A096"/>
                <w:sz w:val="22"/>
                <w:szCs w:val="22"/>
              </w:rPr>
              <w:t>inôme patient expert soignant : outil d’</w:t>
            </w:r>
            <w:proofErr w:type="spellStart"/>
            <w:r w:rsidRPr="00665626">
              <w:rPr>
                <w:rFonts w:ascii="Calibri" w:hAnsi="Calibri" w:cs="Calibri"/>
                <w:color w:val="00A096"/>
                <w:sz w:val="22"/>
                <w:szCs w:val="22"/>
              </w:rPr>
              <w:t>empowerment</w:t>
            </w:r>
            <w:proofErr w:type="spellEnd"/>
          </w:p>
          <w:p w:rsidR="00F000B0" w:rsidRPr="00665626" w:rsidRDefault="00F000B0" w:rsidP="00C56B41">
            <w:pPr>
              <w:pStyle w:val="aaa"/>
            </w:pPr>
            <w:r w:rsidRPr="00665626">
              <w:t>Complémentarité du binôme</w:t>
            </w:r>
          </w:p>
          <w:p w:rsidR="00F000B0" w:rsidRPr="00665626" w:rsidRDefault="00F000B0" w:rsidP="00C56B4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 w:cs="Calibri"/>
                <w:color w:val="00A096"/>
              </w:rPr>
            </w:pPr>
            <w:r w:rsidRPr="00665626">
              <w:rPr>
                <w:rFonts w:ascii="Calibri" w:hAnsi="Calibri" w:cs="Calibri"/>
                <w:color w:val="00A096"/>
                <w:sz w:val="22"/>
                <w:szCs w:val="22"/>
              </w:rPr>
              <w:t xml:space="preserve">L’un </w:t>
            </w:r>
            <w:r>
              <w:rPr>
                <w:rFonts w:ascii="Calibri" w:hAnsi="Calibri" w:cs="Calibri"/>
                <w:color w:val="00A096"/>
                <w:sz w:val="22"/>
                <w:szCs w:val="22"/>
              </w:rPr>
              <w:t>a</w:t>
            </w:r>
            <w:r w:rsidRPr="00665626">
              <w:rPr>
                <w:rFonts w:ascii="Calibri" w:hAnsi="Calibri" w:cs="Calibri"/>
                <w:color w:val="00A096"/>
                <w:sz w:val="22"/>
                <w:szCs w:val="22"/>
              </w:rPr>
              <w:t xml:space="preserve"> l’expérience de la maladie</w:t>
            </w:r>
          </w:p>
          <w:p w:rsidR="00F000B0" w:rsidRPr="00665626" w:rsidRDefault="00F000B0" w:rsidP="00C56B41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 w:cs="Calibri"/>
                <w:color w:val="00A096"/>
              </w:rPr>
            </w:pPr>
            <w:r w:rsidRPr="00665626">
              <w:rPr>
                <w:rFonts w:ascii="Calibri" w:hAnsi="Calibri" w:cs="Calibri"/>
                <w:color w:val="00A096"/>
                <w:sz w:val="22"/>
                <w:szCs w:val="22"/>
              </w:rPr>
              <w:t xml:space="preserve">L’autre </w:t>
            </w:r>
            <w:r>
              <w:rPr>
                <w:rFonts w:ascii="Calibri" w:hAnsi="Calibri" w:cs="Calibri"/>
                <w:color w:val="00A096"/>
                <w:sz w:val="22"/>
                <w:szCs w:val="22"/>
              </w:rPr>
              <w:t>a</w:t>
            </w:r>
            <w:r w:rsidRPr="00665626">
              <w:rPr>
                <w:rFonts w:ascii="Calibri" w:hAnsi="Calibri" w:cs="Calibri"/>
                <w:color w:val="00A096"/>
                <w:sz w:val="22"/>
                <w:szCs w:val="22"/>
              </w:rPr>
              <w:t xml:space="preserve"> l’expérience technique du soin</w:t>
            </w:r>
          </w:p>
          <w:p w:rsidR="00F000B0" w:rsidRPr="006D1377" w:rsidRDefault="00F000B0" w:rsidP="006D1377">
            <w:pPr>
              <w:pStyle w:val="bbb"/>
              <w:rPr>
                <w:color w:val="00A096"/>
              </w:rPr>
            </w:pPr>
            <w:r w:rsidRPr="006D1377">
              <w:rPr>
                <w:color w:val="00A096"/>
              </w:rPr>
              <w:t>facilite l’expression des patients sur leurs expériences ; libération de la parole</w:t>
            </w:r>
          </w:p>
          <w:p w:rsidR="00F000B0" w:rsidRPr="006D1377" w:rsidRDefault="00F000B0" w:rsidP="006D1377">
            <w:pPr>
              <w:pStyle w:val="bbb"/>
              <w:rPr>
                <w:color w:val="00A096"/>
              </w:rPr>
            </w:pPr>
            <w:r w:rsidRPr="006D1377">
              <w:rPr>
                <w:color w:val="00A096"/>
              </w:rPr>
              <w:t>Regards croisés</w:t>
            </w:r>
          </w:p>
          <w:p w:rsidR="00F000B0" w:rsidRPr="006D1377" w:rsidRDefault="00F000B0" w:rsidP="006D1377">
            <w:pPr>
              <w:pStyle w:val="bbb"/>
              <w:rPr>
                <w:color w:val="00A096"/>
              </w:rPr>
            </w:pPr>
            <w:r w:rsidRPr="006D1377">
              <w:rPr>
                <w:color w:val="00A096"/>
              </w:rPr>
              <w:t xml:space="preserve">Meilleure compréhension de la maladie </w:t>
            </w:r>
          </w:p>
          <w:p w:rsidR="00F000B0" w:rsidRPr="006D1377" w:rsidRDefault="00F000B0" w:rsidP="006D1377">
            <w:pPr>
              <w:pStyle w:val="bbb"/>
              <w:rPr>
                <w:color w:val="00A096"/>
              </w:rPr>
            </w:pPr>
            <w:r w:rsidRPr="006D1377">
              <w:rPr>
                <w:color w:val="00A096"/>
              </w:rPr>
              <w:t>Confrontation des points de vue</w:t>
            </w:r>
          </w:p>
          <w:p w:rsidR="00F000B0" w:rsidRPr="006D1377" w:rsidRDefault="00F000B0" w:rsidP="006D1377">
            <w:pPr>
              <w:pStyle w:val="bbb"/>
              <w:rPr>
                <w:color w:val="00A096"/>
              </w:rPr>
            </w:pPr>
            <w:r w:rsidRPr="006D1377">
              <w:rPr>
                <w:color w:val="00A096"/>
              </w:rPr>
              <w:t>Montée en connaissance des deux parties</w:t>
            </w:r>
          </w:p>
          <w:p w:rsidR="00F000B0" w:rsidRPr="006D1377" w:rsidRDefault="00F000B0" w:rsidP="006D1377">
            <w:pPr>
              <w:pStyle w:val="bbb"/>
              <w:rPr>
                <w:color w:val="00A096"/>
              </w:rPr>
            </w:pPr>
            <w:r w:rsidRPr="006D1377">
              <w:rPr>
                <w:color w:val="00A096"/>
              </w:rPr>
              <w:t xml:space="preserve">Programme </w:t>
            </w:r>
            <w:r w:rsidR="006D1377" w:rsidRPr="006D1377">
              <w:rPr>
                <w:color w:val="00A096"/>
              </w:rPr>
              <w:t xml:space="preserve">non </w:t>
            </w:r>
            <w:r w:rsidRPr="006D1377">
              <w:rPr>
                <w:color w:val="00A096"/>
              </w:rPr>
              <w:t xml:space="preserve"> descendant mais horizontal</w:t>
            </w:r>
          </w:p>
          <w:p w:rsidR="00F000B0" w:rsidRPr="006D1377" w:rsidRDefault="00F000B0" w:rsidP="006D1377">
            <w:pPr>
              <w:pStyle w:val="bbb"/>
              <w:rPr>
                <w:color w:val="00A096"/>
              </w:rPr>
            </w:pPr>
            <w:r w:rsidRPr="006D1377">
              <w:rPr>
                <w:color w:val="00A096"/>
              </w:rPr>
              <w:t>Amélioration de la dynamique de groupe</w:t>
            </w:r>
          </w:p>
          <w:p w:rsidR="00F000B0" w:rsidRPr="00E43E20" w:rsidRDefault="00F000B0" w:rsidP="00F40934">
            <w:pPr>
              <w:rPr>
                <w:rFonts w:ascii="Calibri" w:hAnsi="Calibri" w:cs="Calibri"/>
                <w:b/>
                <w:color w:val="00A096"/>
                <w:u w:val="single"/>
              </w:rPr>
            </w:pPr>
            <w:r w:rsidRPr="00E43E20">
              <w:rPr>
                <w:rFonts w:ascii="Calibri" w:hAnsi="Calibri" w:cs="Calibri"/>
                <w:b/>
                <w:color w:val="00A096"/>
                <w:sz w:val="22"/>
                <w:szCs w:val="22"/>
                <w:u w:val="single"/>
              </w:rPr>
              <w:t>Les atouts du patient expert</w:t>
            </w:r>
          </w:p>
          <w:p w:rsidR="00F000B0" w:rsidRPr="006D1377" w:rsidRDefault="00F000B0" w:rsidP="006D1377">
            <w:pPr>
              <w:pStyle w:val="bbb"/>
              <w:tabs>
                <w:tab w:val="clear" w:pos="720"/>
              </w:tabs>
              <w:ind w:left="359" w:hanging="250"/>
              <w:rPr>
                <w:color w:val="00A096"/>
              </w:rPr>
            </w:pPr>
            <w:r w:rsidRPr="006D1377">
              <w:rPr>
                <w:color w:val="00A096"/>
              </w:rPr>
              <w:t>Enrichissement du groupe par le savoir expérientiel du</w:t>
            </w:r>
            <w:r w:rsidR="00550D9A" w:rsidRPr="006D1377">
              <w:rPr>
                <w:color w:val="00A096"/>
              </w:rPr>
              <w:t xml:space="preserve"> </w:t>
            </w:r>
            <w:r w:rsidRPr="006D1377">
              <w:rPr>
                <w:color w:val="00A096"/>
              </w:rPr>
              <w:t>patient</w:t>
            </w:r>
          </w:p>
          <w:p w:rsidR="00F000B0" w:rsidRPr="006D1377" w:rsidRDefault="00F000B0" w:rsidP="006D1377">
            <w:pPr>
              <w:pStyle w:val="bbb"/>
              <w:tabs>
                <w:tab w:val="clear" w:pos="720"/>
              </w:tabs>
              <w:ind w:left="359" w:hanging="250"/>
              <w:rPr>
                <w:color w:val="00A096"/>
              </w:rPr>
            </w:pPr>
            <w:r w:rsidRPr="006D1377">
              <w:rPr>
                <w:color w:val="00A096"/>
              </w:rPr>
              <w:t>Poids supérieur du discours du patient expert</w:t>
            </w:r>
          </w:p>
          <w:p w:rsidR="00F000B0" w:rsidRPr="006D1377" w:rsidRDefault="006D1377" w:rsidP="006D1377">
            <w:pPr>
              <w:pStyle w:val="bbb"/>
              <w:tabs>
                <w:tab w:val="clear" w:pos="720"/>
              </w:tabs>
              <w:ind w:left="359" w:hanging="250"/>
              <w:rPr>
                <w:color w:val="00A096"/>
              </w:rPr>
            </w:pPr>
            <w:r w:rsidRPr="006D1377">
              <w:rPr>
                <w:color w:val="00A096"/>
              </w:rPr>
              <w:t>Absence de</w:t>
            </w:r>
            <w:r w:rsidR="00F000B0" w:rsidRPr="006D1377">
              <w:rPr>
                <w:color w:val="00A096"/>
              </w:rPr>
              <w:t xml:space="preserve"> l’étiquette « soignant » </w:t>
            </w:r>
          </w:p>
          <w:p w:rsidR="00F000B0" w:rsidRPr="006D1377" w:rsidRDefault="00F000B0" w:rsidP="006D1377">
            <w:pPr>
              <w:pStyle w:val="bbb"/>
              <w:tabs>
                <w:tab w:val="clear" w:pos="720"/>
              </w:tabs>
              <w:ind w:left="359" w:hanging="250"/>
              <w:rPr>
                <w:color w:val="00A096"/>
              </w:rPr>
            </w:pPr>
            <w:r w:rsidRPr="006D1377">
              <w:rPr>
                <w:color w:val="00A096"/>
              </w:rPr>
              <w:t>Démystification de l’ETP</w:t>
            </w:r>
          </w:p>
          <w:p w:rsidR="00F000B0" w:rsidRPr="006D1377" w:rsidRDefault="006D1377" w:rsidP="006D1377">
            <w:pPr>
              <w:pStyle w:val="bbb"/>
              <w:tabs>
                <w:tab w:val="clear" w:pos="720"/>
              </w:tabs>
              <w:ind w:left="359" w:hanging="250"/>
              <w:rPr>
                <w:color w:val="00A096"/>
              </w:rPr>
            </w:pPr>
            <w:r>
              <w:rPr>
                <w:color w:val="00A096"/>
              </w:rPr>
              <w:t>C</w:t>
            </w:r>
            <w:r w:rsidR="00F000B0" w:rsidRPr="006D1377">
              <w:rPr>
                <w:color w:val="00A096"/>
              </w:rPr>
              <w:t>apacité à percevoir les ressentis et finesse de mise en mot</w:t>
            </w:r>
            <w:r w:rsidR="008359A6" w:rsidRPr="006D1377">
              <w:rPr>
                <w:color w:val="00A096"/>
              </w:rPr>
              <w:t>s</w:t>
            </w:r>
          </w:p>
          <w:p w:rsidR="00F000B0" w:rsidRPr="008359A6" w:rsidRDefault="00F000B0" w:rsidP="00004FBC">
            <w:pPr>
              <w:rPr>
                <w:rFonts w:ascii="Calibri" w:hAnsi="Calibri" w:cs="Calibri"/>
                <w:b/>
                <w:color w:val="00A096"/>
                <w:u w:val="single"/>
              </w:rPr>
            </w:pPr>
            <w:r w:rsidRPr="008359A6">
              <w:rPr>
                <w:rFonts w:ascii="Calibri" w:hAnsi="Calibri" w:cs="Calibri"/>
                <w:b/>
                <w:color w:val="00A096"/>
                <w:sz w:val="22"/>
                <w:szCs w:val="22"/>
                <w:u w:val="single"/>
              </w:rPr>
              <w:t>L’intérêt pour le patient expert</w:t>
            </w:r>
          </w:p>
          <w:p w:rsidR="00F000B0" w:rsidRPr="006D1377" w:rsidRDefault="006D1377" w:rsidP="006D1377">
            <w:pPr>
              <w:pStyle w:val="bbb"/>
              <w:tabs>
                <w:tab w:val="clear" w:pos="720"/>
              </w:tabs>
              <w:ind w:left="359" w:hanging="250"/>
            </w:pPr>
            <w:r w:rsidRPr="006D1377">
              <w:rPr>
                <w:color w:val="00A096"/>
              </w:rPr>
              <w:t>Transformation de</w:t>
            </w:r>
            <w:r w:rsidR="00F000B0" w:rsidRPr="006D1377">
              <w:rPr>
                <w:color w:val="00A096"/>
              </w:rPr>
              <w:t xml:space="preserve"> ses faiblesses en ressources</w:t>
            </w:r>
          </w:p>
          <w:p w:rsidR="00F000B0" w:rsidRPr="006D1377" w:rsidRDefault="006D1377" w:rsidP="006D1377">
            <w:pPr>
              <w:pStyle w:val="bbb"/>
              <w:tabs>
                <w:tab w:val="clear" w:pos="720"/>
              </w:tabs>
              <w:ind w:left="359" w:hanging="250"/>
              <w:rPr>
                <w:color w:val="00A096"/>
              </w:rPr>
            </w:pPr>
            <w:r>
              <w:rPr>
                <w:color w:val="00A096"/>
              </w:rPr>
              <w:t>Développement de</w:t>
            </w:r>
            <w:r w:rsidR="00F000B0" w:rsidRPr="006D1377">
              <w:rPr>
                <w:color w:val="00A096"/>
              </w:rPr>
              <w:t xml:space="preserve"> compétences</w:t>
            </w:r>
          </w:p>
          <w:p w:rsidR="00F000B0" w:rsidRPr="006D1377" w:rsidRDefault="006D1377" w:rsidP="006D1377">
            <w:pPr>
              <w:pStyle w:val="bbb"/>
              <w:tabs>
                <w:tab w:val="clear" w:pos="720"/>
              </w:tabs>
              <w:ind w:left="359" w:hanging="250"/>
              <w:rPr>
                <w:color w:val="00A096"/>
              </w:rPr>
            </w:pPr>
            <w:r>
              <w:rPr>
                <w:color w:val="00A096"/>
              </w:rPr>
              <w:t>O</w:t>
            </w:r>
            <w:r w:rsidR="00F000B0" w:rsidRPr="006D1377">
              <w:rPr>
                <w:color w:val="00A096"/>
              </w:rPr>
              <w:t xml:space="preserve">util de rétablissement </w:t>
            </w:r>
          </w:p>
          <w:p w:rsidR="00F000B0" w:rsidRPr="006D1377" w:rsidRDefault="00F000B0" w:rsidP="006D1377">
            <w:pPr>
              <w:pStyle w:val="bbb"/>
              <w:tabs>
                <w:tab w:val="clear" w:pos="720"/>
              </w:tabs>
              <w:ind w:left="359" w:hanging="250"/>
            </w:pPr>
            <w:r w:rsidRPr="006D1377">
              <w:rPr>
                <w:color w:val="00A096"/>
              </w:rPr>
              <w:t>Sortie de l’isolement</w:t>
            </w:r>
          </w:p>
          <w:p w:rsidR="00F000B0" w:rsidRPr="00E43E20" w:rsidRDefault="00F000B0" w:rsidP="00E43E20">
            <w:pPr>
              <w:rPr>
                <w:rFonts w:ascii="Calibri" w:hAnsi="Calibri" w:cs="Calibri"/>
                <w:color w:val="00A096"/>
              </w:rPr>
            </w:pPr>
            <w:r w:rsidRPr="00550D9A">
              <w:rPr>
                <w:rFonts w:ascii="Calibri" w:hAnsi="Calibri" w:cs="Calibri"/>
                <w:b/>
                <w:color w:val="00A096"/>
                <w:sz w:val="22"/>
                <w:szCs w:val="22"/>
                <w:u w:val="single"/>
              </w:rPr>
              <w:t>L’intérêt pour le soignant</w:t>
            </w:r>
          </w:p>
          <w:p w:rsidR="00F000B0" w:rsidRPr="00665626" w:rsidRDefault="00F000B0" w:rsidP="00E43E20">
            <w:pPr>
              <w:pStyle w:val="aaa"/>
            </w:pPr>
            <w:r w:rsidRPr="00665626">
              <w:t>Changement de posture et humilité du soignant</w:t>
            </w:r>
          </w:p>
          <w:p w:rsidR="00F000B0" w:rsidRPr="00665626" w:rsidRDefault="00F000B0" w:rsidP="004313B4">
            <w:pPr>
              <w:pStyle w:val="aaa"/>
              <w:ind w:left="0" w:firstLine="0"/>
            </w:pPr>
          </w:p>
        </w:tc>
        <w:tc>
          <w:tcPr>
            <w:tcW w:w="4819" w:type="dxa"/>
          </w:tcPr>
          <w:p w:rsidR="00F000B0" w:rsidRDefault="00F000B0" w:rsidP="008359A6">
            <w:pPr>
              <w:rPr>
                <w:rFonts w:ascii="Calibri" w:hAnsi="Calibri" w:cs="Calibri"/>
                <w:color w:val="1A328C"/>
              </w:rPr>
            </w:pPr>
          </w:p>
          <w:p w:rsidR="00F000B0" w:rsidRPr="00E43E20" w:rsidRDefault="006D1377" w:rsidP="005E040F">
            <w:pPr>
              <w:ind w:left="360"/>
              <w:rPr>
                <w:rFonts w:ascii="Calibri" w:hAnsi="Calibri" w:cs="Calibri"/>
                <w:b/>
                <w:bCs/>
                <w:color w:val="1A328C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1A328C"/>
                <w:sz w:val="22"/>
                <w:szCs w:val="22"/>
                <w:u w:val="single"/>
              </w:rPr>
              <w:t>L</w:t>
            </w:r>
            <w:r w:rsidR="00F000B0" w:rsidRPr="00E43E20">
              <w:rPr>
                <w:rFonts w:ascii="Calibri" w:hAnsi="Calibri" w:cs="Calibri"/>
                <w:b/>
                <w:bCs/>
                <w:color w:val="1A328C"/>
                <w:sz w:val="22"/>
                <w:szCs w:val="22"/>
                <w:u w:val="single"/>
              </w:rPr>
              <w:t>e positionnement du patient expert</w:t>
            </w:r>
          </w:p>
          <w:p w:rsidR="00F000B0" w:rsidRPr="00665626" w:rsidRDefault="006D1377" w:rsidP="005E040F">
            <w:pPr>
              <w:numPr>
                <w:ilvl w:val="0"/>
                <w:numId w:val="1"/>
              </w:numPr>
              <w:rPr>
                <w:rFonts w:ascii="Calibri" w:hAnsi="Calibri" w:cs="Calibri"/>
                <w:color w:val="1A328C"/>
              </w:rPr>
            </w:pPr>
            <w:r>
              <w:rPr>
                <w:rFonts w:ascii="Calibri" w:hAnsi="Calibri" w:cs="Calibri"/>
                <w:color w:val="1A328C"/>
                <w:sz w:val="22"/>
                <w:szCs w:val="22"/>
              </w:rPr>
              <w:t>Valorisation de l’expérience du patient expert sans en faire un « modèle »</w:t>
            </w:r>
          </w:p>
          <w:p w:rsidR="00F000B0" w:rsidRPr="00665626" w:rsidRDefault="006D1377" w:rsidP="005E040F">
            <w:pPr>
              <w:numPr>
                <w:ilvl w:val="0"/>
                <w:numId w:val="1"/>
              </w:numPr>
              <w:rPr>
                <w:rFonts w:ascii="Calibri" w:hAnsi="Calibri" w:cs="Calibri"/>
                <w:color w:val="1A328C"/>
              </w:rPr>
            </w:pPr>
            <w:r>
              <w:rPr>
                <w:rFonts w:ascii="Calibri" w:hAnsi="Calibri" w:cs="Calibri"/>
                <w:color w:val="1A328C"/>
                <w:sz w:val="22"/>
                <w:szCs w:val="22"/>
              </w:rPr>
              <w:t xml:space="preserve">Difficulté à </w:t>
            </w:r>
            <w:r w:rsidR="00F000B0" w:rsidRPr="00665626">
              <w:rPr>
                <w:rFonts w:ascii="Calibri" w:hAnsi="Calibri" w:cs="Calibri"/>
                <w:color w:val="1A328C"/>
                <w:sz w:val="22"/>
                <w:szCs w:val="22"/>
              </w:rPr>
              <w:t>sortir du statut de « malade » qui ne fait que « subir »</w:t>
            </w:r>
          </w:p>
          <w:p w:rsidR="006D1377" w:rsidRPr="006D1377" w:rsidRDefault="006D1377" w:rsidP="005E040F">
            <w:pPr>
              <w:numPr>
                <w:ilvl w:val="0"/>
                <w:numId w:val="1"/>
              </w:numPr>
              <w:rPr>
                <w:rFonts w:ascii="Calibri" w:hAnsi="Calibri" w:cs="Calibri"/>
                <w:color w:val="1A328C"/>
              </w:rPr>
            </w:pPr>
            <w:r w:rsidRPr="006D1377">
              <w:rPr>
                <w:rFonts w:ascii="Calibri" w:hAnsi="Calibri" w:cs="Calibri"/>
                <w:color w:val="1A328C"/>
                <w:sz w:val="22"/>
                <w:szCs w:val="22"/>
              </w:rPr>
              <w:t>Participation « alibi »</w:t>
            </w:r>
            <w:r w:rsidR="00F000B0" w:rsidRPr="006D1377">
              <w:rPr>
                <w:rFonts w:ascii="Calibri" w:hAnsi="Calibri" w:cs="Calibri"/>
                <w:color w:val="1A328C"/>
                <w:sz w:val="22"/>
                <w:szCs w:val="22"/>
              </w:rPr>
              <w:t xml:space="preserve">  </w:t>
            </w:r>
          </w:p>
          <w:p w:rsidR="00F000B0" w:rsidRPr="006D1377" w:rsidRDefault="006D1377" w:rsidP="005E040F">
            <w:pPr>
              <w:numPr>
                <w:ilvl w:val="0"/>
                <w:numId w:val="1"/>
              </w:numPr>
              <w:rPr>
                <w:rFonts w:ascii="Calibri" w:hAnsi="Calibri" w:cs="Calibri"/>
                <w:color w:val="1A328C"/>
              </w:rPr>
            </w:pPr>
            <w:r>
              <w:rPr>
                <w:rFonts w:ascii="Calibri" w:hAnsi="Calibri" w:cs="Calibri"/>
                <w:color w:val="1A328C"/>
                <w:sz w:val="22"/>
                <w:szCs w:val="22"/>
              </w:rPr>
              <w:t>R</w:t>
            </w:r>
            <w:r w:rsidR="00F000B0" w:rsidRPr="006D1377">
              <w:rPr>
                <w:rFonts w:ascii="Calibri" w:hAnsi="Calibri" w:cs="Calibri"/>
                <w:color w:val="1A328C"/>
                <w:sz w:val="22"/>
                <w:szCs w:val="22"/>
              </w:rPr>
              <w:t>apport au secret professionnel du patient expert</w:t>
            </w:r>
          </w:p>
          <w:p w:rsidR="00F000B0" w:rsidRPr="006D1377" w:rsidRDefault="00F000B0" w:rsidP="00E43E20">
            <w:pPr>
              <w:numPr>
                <w:ilvl w:val="0"/>
                <w:numId w:val="1"/>
              </w:numPr>
              <w:rPr>
                <w:rFonts w:ascii="Calibri" w:hAnsi="Calibri" w:cs="Calibri"/>
                <w:color w:val="1A328C"/>
              </w:rPr>
            </w:pPr>
            <w:r w:rsidRPr="00665626">
              <w:rPr>
                <w:rFonts w:ascii="Calibri" w:hAnsi="Calibri" w:cs="Calibri"/>
                <w:color w:val="1A328C"/>
                <w:sz w:val="22"/>
                <w:szCs w:val="22"/>
              </w:rPr>
              <w:t>Aléas face à une rechute qui fait partie de la pathologie chronique</w:t>
            </w:r>
          </w:p>
          <w:p w:rsidR="006D1377" w:rsidRPr="006D1377" w:rsidRDefault="006D1377" w:rsidP="006D1377">
            <w:pPr>
              <w:numPr>
                <w:ilvl w:val="0"/>
                <w:numId w:val="1"/>
              </w:numPr>
              <w:rPr>
                <w:rFonts w:ascii="Calibri" w:hAnsi="Calibri" w:cs="Calibri"/>
                <w:color w:val="1A328C"/>
              </w:rPr>
            </w:pPr>
            <w:r>
              <w:rPr>
                <w:rFonts w:ascii="Calibri" w:hAnsi="Calibri" w:cs="Calibri"/>
                <w:color w:val="1A328C"/>
                <w:sz w:val="22"/>
                <w:szCs w:val="22"/>
              </w:rPr>
              <w:t xml:space="preserve">Difficulté à </w:t>
            </w:r>
            <w:r w:rsidRPr="00665626">
              <w:rPr>
                <w:rFonts w:ascii="Calibri" w:hAnsi="Calibri" w:cs="Calibri"/>
                <w:color w:val="1A328C"/>
                <w:sz w:val="22"/>
                <w:szCs w:val="22"/>
              </w:rPr>
              <w:t>trouver sa juste place entre soignant et soigné</w:t>
            </w:r>
          </w:p>
          <w:p w:rsidR="00F000B0" w:rsidRPr="00E43E20" w:rsidRDefault="006D1377" w:rsidP="00F40934">
            <w:pPr>
              <w:ind w:left="360"/>
              <w:rPr>
                <w:rFonts w:ascii="Calibri" w:hAnsi="Calibri" w:cs="Calibri"/>
                <w:b/>
                <w:bCs/>
                <w:color w:val="1A328C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1A328C"/>
                <w:sz w:val="22"/>
                <w:szCs w:val="22"/>
                <w:u w:val="single"/>
              </w:rPr>
              <w:t>L</w:t>
            </w:r>
            <w:r w:rsidR="00F000B0" w:rsidRPr="00E43E20">
              <w:rPr>
                <w:rFonts w:ascii="Calibri" w:hAnsi="Calibri" w:cs="Calibri"/>
                <w:b/>
                <w:bCs/>
                <w:color w:val="1A328C"/>
                <w:sz w:val="22"/>
                <w:szCs w:val="22"/>
                <w:u w:val="single"/>
              </w:rPr>
              <w:t>e positionnement du soignant</w:t>
            </w:r>
          </w:p>
          <w:p w:rsidR="00F000B0" w:rsidRPr="00665626" w:rsidRDefault="00F000B0" w:rsidP="005E040F">
            <w:pPr>
              <w:numPr>
                <w:ilvl w:val="0"/>
                <w:numId w:val="1"/>
              </w:numPr>
              <w:rPr>
                <w:rFonts w:ascii="Calibri" w:hAnsi="Calibri" w:cs="Calibri"/>
                <w:color w:val="1A328C"/>
              </w:rPr>
            </w:pPr>
            <w:r w:rsidRPr="00665626">
              <w:rPr>
                <w:rFonts w:ascii="Calibri" w:hAnsi="Calibri" w:cs="Calibri"/>
                <w:color w:val="1A328C"/>
                <w:sz w:val="22"/>
                <w:szCs w:val="22"/>
              </w:rPr>
              <w:t>Capacité pour le soignant à renoncer à sa position de « sachant »</w:t>
            </w:r>
          </w:p>
          <w:p w:rsidR="00F000B0" w:rsidRPr="005535A0" w:rsidRDefault="00F000B0" w:rsidP="005535A0">
            <w:pPr>
              <w:numPr>
                <w:ilvl w:val="0"/>
                <w:numId w:val="1"/>
              </w:numPr>
              <w:rPr>
                <w:rFonts w:ascii="Calibri" w:hAnsi="Calibri" w:cs="Calibri"/>
                <w:color w:val="1A328C"/>
              </w:rPr>
            </w:pPr>
            <w:r w:rsidRPr="00665626">
              <w:rPr>
                <w:rFonts w:ascii="Calibri" w:hAnsi="Calibri" w:cs="Calibri"/>
                <w:color w:val="1A328C"/>
                <w:sz w:val="22"/>
                <w:szCs w:val="22"/>
              </w:rPr>
              <w:t>Peur du soignant d’être supplanté par le patient expert</w:t>
            </w:r>
          </w:p>
          <w:p w:rsidR="00F000B0" w:rsidRPr="006D1377" w:rsidRDefault="00F000B0" w:rsidP="00E43E20">
            <w:pPr>
              <w:ind w:left="360"/>
              <w:jc w:val="both"/>
              <w:rPr>
                <w:rFonts w:ascii="Calibri" w:hAnsi="Calibri" w:cs="Calibri"/>
                <w:b/>
                <w:bCs/>
                <w:color w:val="1A328C"/>
                <w:u w:val="single"/>
              </w:rPr>
            </w:pPr>
            <w:r w:rsidRPr="006D1377">
              <w:rPr>
                <w:rFonts w:ascii="Calibri" w:hAnsi="Calibri" w:cs="Calibri"/>
                <w:b/>
                <w:bCs/>
                <w:color w:val="1A328C"/>
                <w:sz w:val="22"/>
                <w:szCs w:val="22"/>
                <w:u w:val="single"/>
              </w:rPr>
              <w:t>L’animation de groupe</w:t>
            </w:r>
          </w:p>
          <w:p w:rsidR="00F000B0" w:rsidRPr="00665626" w:rsidRDefault="00F000B0" w:rsidP="005E040F">
            <w:pPr>
              <w:numPr>
                <w:ilvl w:val="0"/>
                <w:numId w:val="1"/>
              </w:numPr>
              <w:rPr>
                <w:rFonts w:ascii="Calibri" w:hAnsi="Calibri" w:cs="Calibri"/>
                <w:color w:val="1A328C"/>
              </w:rPr>
            </w:pPr>
            <w:r w:rsidRPr="00665626">
              <w:rPr>
                <w:rFonts w:ascii="Calibri" w:hAnsi="Calibri" w:cs="Calibri"/>
                <w:color w:val="1A328C"/>
                <w:sz w:val="22"/>
                <w:szCs w:val="22"/>
              </w:rPr>
              <w:t>Déstabilisation du groupe</w:t>
            </w:r>
          </w:p>
          <w:p w:rsidR="00F000B0" w:rsidRPr="00665626" w:rsidRDefault="006D1377" w:rsidP="005E040F">
            <w:pPr>
              <w:numPr>
                <w:ilvl w:val="0"/>
                <w:numId w:val="1"/>
              </w:numPr>
              <w:rPr>
                <w:rFonts w:ascii="Calibri" w:hAnsi="Calibri" w:cs="Calibri"/>
                <w:color w:val="1A328C"/>
              </w:rPr>
            </w:pPr>
            <w:r>
              <w:rPr>
                <w:rFonts w:ascii="Calibri" w:hAnsi="Calibri" w:cs="Calibri"/>
                <w:color w:val="1A328C"/>
                <w:sz w:val="22"/>
                <w:szCs w:val="22"/>
              </w:rPr>
              <w:t>Codes et</w:t>
            </w:r>
            <w:r w:rsidR="00F000B0" w:rsidRPr="00665626">
              <w:rPr>
                <w:rFonts w:ascii="Calibri" w:hAnsi="Calibri" w:cs="Calibri"/>
                <w:color w:val="1A328C"/>
                <w:sz w:val="22"/>
                <w:szCs w:val="22"/>
              </w:rPr>
              <w:t xml:space="preserve"> références</w:t>
            </w:r>
            <w:r>
              <w:rPr>
                <w:rFonts w:ascii="Calibri" w:hAnsi="Calibri" w:cs="Calibri"/>
                <w:color w:val="1A328C"/>
                <w:sz w:val="22"/>
                <w:szCs w:val="22"/>
              </w:rPr>
              <w:t xml:space="preserve"> différents entre patient expert et soignant</w:t>
            </w:r>
          </w:p>
          <w:p w:rsidR="00F000B0" w:rsidRPr="00034D41" w:rsidRDefault="00F000B0" w:rsidP="008359A6">
            <w:pPr>
              <w:numPr>
                <w:ilvl w:val="0"/>
                <w:numId w:val="1"/>
              </w:numPr>
              <w:rPr>
                <w:rFonts w:ascii="Calibri" w:hAnsi="Calibri" w:cs="Calibri"/>
                <w:color w:val="1A328C"/>
              </w:rPr>
            </w:pPr>
            <w:r>
              <w:rPr>
                <w:rFonts w:ascii="Calibri" w:hAnsi="Calibri" w:cs="Calibri"/>
                <w:color w:val="1A328C"/>
                <w:sz w:val="22"/>
                <w:szCs w:val="22"/>
              </w:rPr>
              <w:t>« I</w:t>
            </w:r>
            <w:r w:rsidRPr="00665626">
              <w:rPr>
                <w:rFonts w:ascii="Calibri" w:hAnsi="Calibri" w:cs="Calibri"/>
                <w:color w:val="1A328C"/>
                <w:sz w:val="22"/>
                <w:szCs w:val="22"/>
              </w:rPr>
              <w:t xml:space="preserve">nconfort » dans la </w:t>
            </w:r>
            <w:proofErr w:type="spellStart"/>
            <w:r w:rsidRPr="00665626">
              <w:rPr>
                <w:rFonts w:ascii="Calibri" w:hAnsi="Calibri" w:cs="Calibri"/>
                <w:color w:val="1A328C"/>
                <w:sz w:val="22"/>
                <w:szCs w:val="22"/>
              </w:rPr>
              <w:t>co</w:t>
            </w:r>
            <w:proofErr w:type="spellEnd"/>
            <w:r w:rsidRPr="00665626">
              <w:rPr>
                <w:rFonts w:ascii="Calibri" w:hAnsi="Calibri" w:cs="Calibri"/>
                <w:color w:val="1A328C"/>
                <w:sz w:val="22"/>
                <w:szCs w:val="22"/>
              </w:rPr>
              <w:t xml:space="preserve">-animation : </w:t>
            </w:r>
            <w:r w:rsidR="00034D41">
              <w:rPr>
                <w:rFonts w:ascii="Calibri" w:hAnsi="Calibri" w:cs="Calibri"/>
                <w:color w:val="1A328C"/>
                <w:sz w:val="22"/>
                <w:szCs w:val="22"/>
              </w:rPr>
              <w:t xml:space="preserve">quand on connaît peu le </w:t>
            </w:r>
            <w:r w:rsidRPr="00665626">
              <w:rPr>
                <w:rFonts w:ascii="Calibri" w:hAnsi="Calibri" w:cs="Calibri"/>
                <w:color w:val="1A328C"/>
                <w:sz w:val="22"/>
                <w:szCs w:val="22"/>
              </w:rPr>
              <w:t>patient expert (comme avec un a</w:t>
            </w:r>
            <w:r>
              <w:rPr>
                <w:rFonts w:ascii="Calibri" w:hAnsi="Calibri" w:cs="Calibri"/>
                <w:color w:val="1A328C"/>
                <w:sz w:val="22"/>
                <w:szCs w:val="22"/>
              </w:rPr>
              <w:t>utre collègue</w:t>
            </w:r>
            <w:r w:rsidR="00034D41">
              <w:rPr>
                <w:rFonts w:ascii="Calibri" w:hAnsi="Calibri" w:cs="Calibri"/>
                <w:color w:val="1A328C"/>
                <w:sz w:val="22"/>
                <w:szCs w:val="22"/>
              </w:rPr>
              <w:t xml:space="preserve"> soignant</w:t>
            </w:r>
            <w:r w:rsidRPr="00665626">
              <w:rPr>
                <w:rFonts w:ascii="Calibri" w:hAnsi="Calibri" w:cs="Calibri"/>
                <w:color w:val="1A328C"/>
                <w:sz w:val="22"/>
                <w:szCs w:val="22"/>
              </w:rPr>
              <w:t> !)</w:t>
            </w:r>
          </w:p>
          <w:p w:rsidR="00F000B0" w:rsidRPr="005535A0" w:rsidRDefault="00F000B0" w:rsidP="005535A0">
            <w:pPr>
              <w:ind w:left="360"/>
              <w:jc w:val="both"/>
              <w:rPr>
                <w:rFonts w:ascii="Calibri" w:hAnsi="Calibri" w:cs="Calibri"/>
                <w:b/>
                <w:color w:val="1A328C"/>
                <w:u w:val="single"/>
              </w:rPr>
            </w:pPr>
            <w:r w:rsidRPr="00E43E20">
              <w:rPr>
                <w:rFonts w:ascii="Calibri" w:hAnsi="Calibri" w:cs="Calibri"/>
                <w:b/>
                <w:color w:val="1A328C"/>
                <w:sz w:val="22"/>
                <w:szCs w:val="22"/>
                <w:u w:val="single"/>
              </w:rPr>
              <w:t>Autres</w:t>
            </w:r>
          </w:p>
          <w:p w:rsidR="00F000B0" w:rsidRPr="00665626" w:rsidRDefault="00F000B0" w:rsidP="00F40934">
            <w:pPr>
              <w:numPr>
                <w:ilvl w:val="0"/>
                <w:numId w:val="1"/>
              </w:numPr>
              <w:rPr>
                <w:rFonts w:ascii="Calibri" w:hAnsi="Calibri" w:cs="Calibri"/>
                <w:color w:val="1A328C"/>
              </w:rPr>
            </w:pPr>
            <w:r w:rsidRPr="00665626">
              <w:rPr>
                <w:rFonts w:ascii="Calibri" w:hAnsi="Calibri" w:cs="Calibri"/>
                <w:color w:val="1A328C"/>
                <w:sz w:val="22"/>
                <w:szCs w:val="22"/>
              </w:rPr>
              <w:t>Intégr</w:t>
            </w:r>
            <w:r>
              <w:rPr>
                <w:rFonts w:ascii="Calibri" w:hAnsi="Calibri" w:cs="Calibri"/>
                <w:color w:val="1A328C"/>
                <w:sz w:val="22"/>
                <w:szCs w:val="22"/>
              </w:rPr>
              <w:t>ation</w:t>
            </w:r>
            <w:r w:rsidRPr="00665626">
              <w:rPr>
                <w:rFonts w:ascii="Calibri" w:hAnsi="Calibri" w:cs="Calibri"/>
                <w:color w:val="1A328C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1A328C"/>
                <w:sz w:val="22"/>
                <w:szCs w:val="22"/>
              </w:rPr>
              <w:t>du</w:t>
            </w:r>
            <w:r w:rsidRPr="00665626">
              <w:rPr>
                <w:rFonts w:ascii="Calibri" w:hAnsi="Calibri" w:cs="Calibri"/>
                <w:color w:val="1A328C"/>
                <w:sz w:val="22"/>
                <w:szCs w:val="22"/>
              </w:rPr>
              <w:t xml:space="preserve"> patient expert dans la construction d’un programme</w:t>
            </w:r>
          </w:p>
          <w:p w:rsidR="00F000B0" w:rsidRPr="008359A6" w:rsidRDefault="00F000B0" w:rsidP="00E43E20">
            <w:pPr>
              <w:numPr>
                <w:ilvl w:val="0"/>
                <w:numId w:val="1"/>
              </w:numPr>
              <w:rPr>
                <w:rFonts w:ascii="Calibri" w:hAnsi="Calibri" w:cs="Calibri"/>
                <w:color w:val="1A328C"/>
              </w:rPr>
            </w:pPr>
            <w:r w:rsidRPr="00665626">
              <w:rPr>
                <w:rFonts w:ascii="Calibri" w:hAnsi="Calibri" w:cs="Calibri"/>
                <w:color w:val="1A328C"/>
                <w:sz w:val="22"/>
                <w:szCs w:val="22"/>
              </w:rPr>
              <w:t>Difficultés matérielles : temps dégagé, personnels, disponibilités…</w:t>
            </w:r>
          </w:p>
        </w:tc>
        <w:tc>
          <w:tcPr>
            <w:tcW w:w="5670" w:type="dxa"/>
          </w:tcPr>
          <w:p w:rsidR="007F596C" w:rsidRPr="005535A0" w:rsidRDefault="007F596C" w:rsidP="007F596C">
            <w:pPr>
              <w:ind w:left="360"/>
              <w:rPr>
                <w:rFonts w:ascii="Calibri" w:hAnsi="Calibri" w:cs="Calibri"/>
                <w:b/>
                <w:bCs/>
                <w:color w:val="94599B"/>
                <w:u w:val="single"/>
              </w:rPr>
            </w:pPr>
            <w:r w:rsidRPr="005535A0">
              <w:rPr>
                <w:rFonts w:ascii="Calibri" w:hAnsi="Calibri" w:cs="Calibri"/>
                <w:b/>
                <w:bCs/>
                <w:color w:val="94599B"/>
                <w:sz w:val="22"/>
                <w:szCs w:val="22"/>
                <w:u w:val="single"/>
              </w:rPr>
              <w:t>Un travail commun à toutes les étapes</w:t>
            </w:r>
          </w:p>
          <w:p w:rsidR="00F000B0" w:rsidRPr="007F596C" w:rsidRDefault="007F596C" w:rsidP="007F596C">
            <w:pPr>
              <w:pStyle w:val="bbb"/>
            </w:pPr>
            <w:r w:rsidRPr="00665626">
              <w:t xml:space="preserve">Co-construction dès le début du programme, associer le patient expert à la démarche, au choix des objectifs, charte de fonctionnement… </w:t>
            </w:r>
          </w:p>
          <w:p w:rsidR="00F000B0" w:rsidRPr="005535A0" w:rsidRDefault="007F596C" w:rsidP="00F40934">
            <w:pPr>
              <w:ind w:left="360"/>
              <w:rPr>
                <w:rFonts w:ascii="Calibri" w:hAnsi="Calibri" w:cs="Calibri"/>
                <w:b/>
                <w:bCs/>
                <w:color w:val="94599B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94599B"/>
                <w:sz w:val="22"/>
                <w:szCs w:val="22"/>
                <w:u w:val="single"/>
              </w:rPr>
              <w:t xml:space="preserve">Prérequis </w:t>
            </w:r>
          </w:p>
          <w:p w:rsidR="00F000B0" w:rsidRPr="00665626" w:rsidRDefault="00F000B0" w:rsidP="008359A6">
            <w:pPr>
              <w:pStyle w:val="bbb"/>
            </w:pPr>
            <w:r w:rsidRPr="00E43E20">
              <w:t>Patient</w:t>
            </w:r>
            <w:r w:rsidRPr="00665626">
              <w:t xml:space="preserve"> a</w:t>
            </w:r>
            <w:r>
              <w:t>yant</w:t>
            </w:r>
            <w:r w:rsidRPr="00665626">
              <w:t xml:space="preserve"> </w:t>
            </w:r>
            <w:r>
              <w:t xml:space="preserve">lui-même </w:t>
            </w:r>
            <w:r w:rsidRPr="00665626">
              <w:t>participé à un groupe d’ETP</w:t>
            </w:r>
          </w:p>
          <w:p w:rsidR="00F000B0" w:rsidRPr="00665626" w:rsidRDefault="00F000B0" w:rsidP="002D3A76">
            <w:pPr>
              <w:pStyle w:val="bbb"/>
            </w:pPr>
            <w:r w:rsidRPr="00665626">
              <w:t>Habitude de travailler ensemble</w:t>
            </w:r>
          </w:p>
          <w:p w:rsidR="00F000B0" w:rsidRPr="005535A0" w:rsidRDefault="00F000B0" w:rsidP="005535A0">
            <w:pPr>
              <w:pStyle w:val="bbb"/>
            </w:pPr>
            <w:r>
              <w:t>Partage</w:t>
            </w:r>
            <w:r w:rsidRPr="00665626">
              <w:t xml:space="preserve"> </w:t>
            </w:r>
            <w:r>
              <w:t>d’</w:t>
            </w:r>
            <w:r w:rsidRPr="00665626">
              <w:t>une culture commune patient/soignant (habitudes de travail, langage…)</w:t>
            </w:r>
          </w:p>
          <w:p w:rsidR="00F000B0" w:rsidRPr="00E43E20" w:rsidRDefault="00F000B0" w:rsidP="00F40934">
            <w:pPr>
              <w:ind w:left="360"/>
              <w:rPr>
                <w:rFonts w:ascii="Calibri" w:hAnsi="Calibri" w:cs="Calibri"/>
                <w:b/>
                <w:bCs/>
                <w:color w:val="94599B"/>
                <w:u w:val="single"/>
              </w:rPr>
            </w:pPr>
            <w:r w:rsidRPr="005535A0">
              <w:rPr>
                <w:rFonts w:ascii="Calibri" w:hAnsi="Calibri" w:cs="Calibri"/>
                <w:b/>
                <w:bCs/>
                <w:color w:val="94599B"/>
                <w:sz w:val="22"/>
                <w:szCs w:val="22"/>
                <w:u w:val="single"/>
              </w:rPr>
              <w:t>Un changement de regard et de pratiques</w:t>
            </w:r>
          </w:p>
          <w:p w:rsidR="00F000B0" w:rsidRPr="00665626" w:rsidRDefault="00F000B0" w:rsidP="002D3A76">
            <w:pPr>
              <w:pStyle w:val="bbb"/>
            </w:pPr>
            <w:r w:rsidRPr="00665626">
              <w:t>Nouveau regard sur le soin</w:t>
            </w:r>
          </w:p>
          <w:p w:rsidR="00F000B0" w:rsidRPr="00665626" w:rsidRDefault="00F000B0" w:rsidP="00E43E20">
            <w:pPr>
              <w:pStyle w:val="bbb"/>
            </w:pPr>
            <w:r>
              <w:t>Capacité à</w:t>
            </w:r>
            <w:r w:rsidRPr="00665626">
              <w:t xml:space="preserve"> travailler sur un mode relationnel horizontal</w:t>
            </w:r>
          </w:p>
          <w:p w:rsidR="00F000B0" w:rsidRPr="00665626" w:rsidRDefault="00F000B0" w:rsidP="002D3A76">
            <w:pPr>
              <w:pStyle w:val="bbb"/>
            </w:pPr>
            <w:r w:rsidRPr="00665626">
              <w:t>Légitimité donnée aux patients experts par la formation</w:t>
            </w:r>
          </w:p>
          <w:p w:rsidR="00F000B0" w:rsidRPr="005535A0" w:rsidRDefault="00F000B0" w:rsidP="002D3A76">
            <w:pPr>
              <w:pStyle w:val="bbb"/>
            </w:pPr>
            <w:r>
              <w:t>Déconstruction de</w:t>
            </w:r>
            <w:r w:rsidRPr="00665626">
              <w:t xml:space="preserve"> la position du soignant : capacité d’écoute, empathie…</w:t>
            </w:r>
          </w:p>
          <w:p w:rsidR="00F000B0" w:rsidRPr="005535A0" w:rsidRDefault="00F000B0" w:rsidP="002D3A76">
            <w:pPr>
              <w:ind w:left="360"/>
              <w:rPr>
                <w:rFonts w:ascii="Calibri" w:hAnsi="Calibri" w:cs="Calibri"/>
                <w:b/>
                <w:bCs/>
                <w:color w:val="94599B"/>
                <w:u w:val="single"/>
              </w:rPr>
            </w:pPr>
            <w:r w:rsidRPr="005535A0">
              <w:rPr>
                <w:rFonts w:ascii="Calibri" w:hAnsi="Calibri" w:cs="Calibri"/>
                <w:b/>
                <w:bCs/>
                <w:color w:val="94599B"/>
                <w:sz w:val="22"/>
                <w:szCs w:val="22"/>
                <w:u w:val="single"/>
              </w:rPr>
              <w:t>Une reconnaissance mutuelle</w:t>
            </w:r>
          </w:p>
          <w:p w:rsidR="00F000B0" w:rsidRPr="00665626" w:rsidRDefault="00F000B0" w:rsidP="00E43E20">
            <w:pPr>
              <w:pStyle w:val="bbb"/>
            </w:pPr>
            <w:r w:rsidRPr="00665626">
              <w:t>Confiance et qualité relationnelle entre patient expert et soignant</w:t>
            </w:r>
          </w:p>
          <w:p w:rsidR="00F000B0" w:rsidRDefault="00F000B0" w:rsidP="008359A6">
            <w:pPr>
              <w:pStyle w:val="bbb"/>
              <w:rPr>
                <w:rFonts w:cs="Times New Roman"/>
              </w:rPr>
            </w:pPr>
            <w:r w:rsidRPr="00665626">
              <w:t>Bonne entente dans le binôme</w:t>
            </w:r>
          </w:p>
          <w:p w:rsidR="00F000B0" w:rsidRPr="005535A0" w:rsidRDefault="00F000B0" w:rsidP="002D3A76">
            <w:pPr>
              <w:pStyle w:val="bbb"/>
            </w:pPr>
            <w:r w:rsidRPr="00665626">
              <w:t>Laisser le patient expert libre de se désengager de l’animation</w:t>
            </w:r>
          </w:p>
          <w:p w:rsidR="00F000B0" w:rsidRPr="00E43E20" w:rsidRDefault="00F000B0" w:rsidP="008359A6">
            <w:pPr>
              <w:ind w:left="360"/>
              <w:rPr>
                <w:rFonts w:ascii="Calibri" w:hAnsi="Calibri" w:cs="Calibri"/>
                <w:b/>
                <w:bCs/>
                <w:color w:val="94599B"/>
                <w:u w:val="single"/>
              </w:rPr>
            </w:pPr>
            <w:r w:rsidRPr="008359A6">
              <w:rPr>
                <w:rFonts w:ascii="Calibri" w:hAnsi="Calibri" w:cs="Calibri"/>
                <w:b/>
                <w:bCs/>
                <w:color w:val="94599B"/>
                <w:sz w:val="22"/>
                <w:szCs w:val="22"/>
                <w:u w:val="single"/>
              </w:rPr>
              <w:t>La reconnaissance des personnes impliquées</w:t>
            </w:r>
          </w:p>
          <w:p w:rsidR="00F000B0" w:rsidRPr="007F596C" w:rsidRDefault="00F000B0" w:rsidP="007F596C">
            <w:pPr>
              <w:numPr>
                <w:ilvl w:val="0"/>
                <w:numId w:val="1"/>
              </w:numPr>
              <w:tabs>
                <w:tab w:val="clear" w:pos="720"/>
              </w:tabs>
              <w:ind w:left="743" w:hanging="250"/>
              <w:rPr>
                <w:rFonts w:ascii="Calibri" w:hAnsi="Calibri" w:cs="Calibri"/>
                <w:color w:val="94599B"/>
                <w:sz w:val="22"/>
                <w:szCs w:val="22"/>
              </w:rPr>
            </w:pPr>
            <w:r w:rsidRPr="00665626">
              <w:rPr>
                <w:rFonts w:ascii="Calibri" w:hAnsi="Calibri" w:cs="Calibri"/>
                <w:color w:val="94599B"/>
                <w:sz w:val="22"/>
                <w:szCs w:val="22"/>
              </w:rPr>
              <w:t>L’appui de l’entourage dans le projet du patient expert</w:t>
            </w:r>
          </w:p>
          <w:p w:rsidR="00F000B0" w:rsidRPr="007F596C" w:rsidRDefault="00F000B0" w:rsidP="008359A6">
            <w:pPr>
              <w:pStyle w:val="bbb"/>
            </w:pPr>
            <w:r w:rsidRPr="00665626">
              <w:t>Reconnaissance institutionnelle</w:t>
            </w:r>
          </w:p>
          <w:p w:rsidR="006D1377" w:rsidRPr="007F596C" w:rsidRDefault="00F000B0" w:rsidP="007F596C">
            <w:pPr>
              <w:pStyle w:val="bbb"/>
            </w:pPr>
            <w:r w:rsidRPr="00665626">
              <w:t>Reconnaissance du patient expert par une rémunération</w:t>
            </w:r>
            <w:bookmarkStart w:id="0" w:name="_GoBack"/>
            <w:bookmarkEnd w:id="0"/>
          </w:p>
        </w:tc>
      </w:tr>
    </w:tbl>
    <w:p w:rsidR="00F000B0" w:rsidRDefault="00F000B0" w:rsidP="004313B4"/>
    <w:sectPr w:rsidR="00F000B0" w:rsidSect="008359A6">
      <w:headerReference w:type="default" r:id="rId7"/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11B" w:rsidRDefault="001A411B" w:rsidP="004630F3">
      <w:r>
        <w:separator/>
      </w:r>
    </w:p>
  </w:endnote>
  <w:endnote w:type="continuationSeparator" w:id="0">
    <w:p w:rsidR="001A411B" w:rsidRDefault="001A411B" w:rsidP="0046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11B" w:rsidRDefault="001A411B" w:rsidP="004630F3">
      <w:r>
        <w:separator/>
      </w:r>
    </w:p>
  </w:footnote>
  <w:footnote w:type="continuationSeparator" w:id="0">
    <w:p w:rsidR="001A411B" w:rsidRDefault="001A411B" w:rsidP="0046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B0" w:rsidRPr="004630F3" w:rsidRDefault="00550D9A" w:rsidP="004630F3">
    <w:pPr>
      <w:pStyle w:val="En-tte"/>
      <w:jc w:val="center"/>
      <w:rPr>
        <w:rFonts w:ascii="Calibri Light" w:hAnsi="Calibri Light" w:cs="Calibri Light"/>
        <w:b/>
        <w:bCs/>
        <w:color w:val="A6A6A6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-414655</wp:posOffset>
          </wp:positionH>
          <wp:positionV relativeFrom="paragraph">
            <wp:posOffset>-364490</wp:posOffset>
          </wp:positionV>
          <wp:extent cx="1076325" cy="723900"/>
          <wp:effectExtent l="0" t="0" r="9525" b="0"/>
          <wp:wrapSquare wrapText="bothSides"/>
          <wp:docPr id="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0B0" w:rsidRPr="004630F3">
      <w:rPr>
        <w:rFonts w:ascii="Calibri Light" w:hAnsi="Calibri Light" w:cs="Calibri Light"/>
        <w:b/>
        <w:bCs/>
        <w:color w:val="A6A6A6"/>
        <w:sz w:val="28"/>
        <w:szCs w:val="28"/>
      </w:rPr>
      <w:t>Le binôme patient expert soignant en ETP</w:t>
    </w:r>
  </w:p>
  <w:p w:rsidR="00F000B0" w:rsidRPr="004630F3" w:rsidRDefault="00F000B0" w:rsidP="004630F3">
    <w:pPr>
      <w:pStyle w:val="En-tte"/>
      <w:jc w:val="center"/>
      <w:rPr>
        <w:rFonts w:ascii="Calibri Light" w:hAnsi="Calibri Light" w:cs="Calibri Light"/>
        <w:b/>
        <w:bCs/>
        <w:color w:val="A6A6A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9525B"/>
    <w:multiLevelType w:val="hybridMultilevel"/>
    <w:tmpl w:val="B8CCF27A"/>
    <w:lvl w:ilvl="0" w:tplc="E32CC330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A252A4"/>
    <w:multiLevelType w:val="hybridMultilevel"/>
    <w:tmpl w:val="5DCE2BE8"/>
    <w:lvl w:ilvl="0" w:tplc="3140DE1C"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AD1F4A"/>
    <w:multiLevelType w:val="hybridMultilevel"/>
    <w:tmpl w:val="79786A16"/>
    <w:lvl w:ilvl="0" w:tplc="316201FC">
      <w:numFmt w:val="bullet"/>
      <w:pStyle w:val="bbb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D0"/>
    <w:rsid w:val="00004700"/>
    <w:rsid w:val="00004FBC"/>
    <w:rsid w:val="00034D41"/>
    <w:rsid w:val="0004480F"/>
    <w:rsid w:val="00095A66"/>
    <w:rsid w:val="00133308"/>
    <w:rsid w:val="001A411B"/>
    <w:rsid w:val="001B583B"/>
    <w:rsid w:val="002D3A76"/>
    <w:rsid w:val="002F36CB"/>
    <w:rsid w:val="003820CC"/>
    <w:rsid w:val="0040393C"/>
    <w:rsid w:val="004313B4"/>
    <w:rsid w:val="00443F25"/>
    <w:rsid w:val="004630F3"/>
    <w:rsid w:val="004955F1"/>
    <w:rsid w:val="005417CD"/>
    <w:rsid w:val="00550D9A"/>
    <w:rsid w:val="005535A0"/>
    <w:rsid w:val="005E040F"/>
    <w:rsid w:val="005E4CBE"/>
    <w:rsid w:val="00665626"/>
    <w:rsid w:val="006D1377"/>
    <w:rsid w:val="007F596C"/>
    <w:rsid w:val="0081710F"/>
    <w:rsid w:val="008359A6"/>
    <w:rsid w:val="008A20A0"/>
    <w:rsid w:val="009F76D0"/>
    <w:rsid w:val="00A53C95"/>
    <w:rsid w:val="00AE6F11"/>
    <w:rsid w:val="00B134D4"/>
    <w:rsid w:val="00B70030"/>
    <w:rsid w:val="00B74905"/>
    <w:rsid w:val="00B866D0"/>
    <w:rsid w:val="00C330A2"/>
    <w:rsid w:val="00C56B41"/>
    <w:rsid w:val="00C608B9"/>
    <w:rsid w:val="00CC52AA"/>
    <w:rsid w:val="00CD0EAE"/>
    <w:rsid w:val="00CF3F79"/>
    <w:rsid w:val="00E43E20"/>
    <w:rsid w:val="00F000B0"/>
    <w:rsid w:val="00F40934"/>
    <w:rsid w:val="00FA216F"/>
    <w:rsid w:val="00F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2E15D6-2994-4E87-8823-CEB1C23F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D0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C52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4630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0F3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630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0F3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04F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FBC"/>
    <w:rPr>
      <w:rFonts w:ascii="Tahoma" w:hAnsi="Tahoma" w:cs="Tahoma"/>
      <w:sz w:val="16"/>
      <w:szCs w:val="16"/>
      <w:lang w:eastAsia="fr-FR"/>
    </w:rPr>
  </w:style>
  <w:style w:type="paragraph" w:customStyle="1" w:styleId="aaa">
    <w:name w:val="aaa"/>
    <w:basedOn w:val="Paragraphedeliste"/>
    <w:uiPriority w:val="99"/>
    <w:rsid w:val="00C56B41"/>
    <w:pPr>
      <w:ind w:left="440" w:hanging="250"/>
    </w:pPr>
    <w:rPr>
      <w:rFonts w:ascii="Calibri" w:hAnsi="Calibri" w:cs="Calibri"/>
      <w:color w:val="00A096"/>
      <w:sz w:val="22"/>
      <w:szCs w:val="22"/>
    </w:rPr>
  </w:style>
  <w:style w:type="paragraph" w:customStyle="1" w:styleId="bbb">
    <w:name w:val="bbb"/>
    <w:basedOn w:val="Normal"/>
    <w:uiPriority w:val="99"/>
    <w:rsid w:val="002D3A76"/>
    <w:pPr>
      <w:numPr>
        <w:numId w:val="1"/>
      </w:numPr>
    </w:pPr>
    <w:rPr>
      <w:rFonts w:ascii="Calibri" w:hAnsi="Calibri" w:cs="Calibri"/>
      <w:color w:val="94599B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Intérêt(s) du binome patient expert soignant en ETP</vt:lpstr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Intérêt(s) du binome patient expert soignant en ETP</dc:title>
  <dc:subject/>
  <dc:creator>Anne-Sophie Riou</dc:creator>
  <cp:keywords/>
  <dc:description/>
  <cp:lastModifiedBy>Anne-Sophie Riou</cp:lastModifiedBy>
  <cp:revision>5</cp:revision>
  <dcterms:created xsi:type="dcterms:W3CDTF">2018-05-15T07:27:00Z</dcterms:created>
  <dcterms:modified xsi:type="dcterms:W3CDTF">2018-05-15T12:28:00Z</dcterms:modified>
</cp:coreProperties>
</file>